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404" w:hanging="4016" w:hangingChars="100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芒卡镇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湖广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村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岔沟上、下寨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自然村村庄规划说明书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一、总则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（一）政策背景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湖广村甘河</w:t>
      </w:r>
      <w:r>
        <w:rPr>
          <w:rFonts w:hint="eastAsia" w:ascii="仿宋" w:hAnsi="仿宋" w:eastAsia="仿宋" w:cs="仿宋"/>
          <w:sz w:val="32"/>
          <w:szCs w:val="32"/>
        </w:rPr>
        <w:t>自然村村庄规划。该自然村规划经2019年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日自然村村民代表会议审议表决通过。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（二）村情概况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1．地理区位：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岔沟上、下寨自然村</w:t>
      </w:r>
      <w:r>
        <w:rPr>
          <w:rFonts w:hint="eastAsia" w:ascii="仿宋" w:hAnsi="仿宋" w:eastAsia="仿宋" w:cs="仿宋"/>
          <w:sz w:val="32"/>
          <w:szCs w:val="32"/>
        </w:rPr>
        <w:t>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湖广村东部</w:t>
      </w:r>
      <w:r>
        <w:rPr>
          <w:rFonts w:hint="eastAsia" w:ascii="仿宋" w:hAnsi="仿宋" w:eastAsia="仿宋" w:cs="仿宋"/>
          <w:sz w:val="32"/>
          <w:szCs w:val="32"/>
        </w:rPr>
        <w:t>，距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村委会</w:t>
      </w:r>
      <w:r>
        <w:rPr>
          <w:rFonts w:hint="eastAsia" w:ascii="仿宋" w:hAnsi="仿宋" w:eastAsia="仿宋" w:cs="仿宋"/>
          <w:sz w:val="32"/>
          <w:szCs w:val="32"/>
        </w:rPr>
        <w:t xml:space="preserve">驻地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公里，海拔1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00米，森林覆盖率达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%，年均年降水量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00毫米，昼夜温差小，工程性缺水突出。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2．人口现状：自然村共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3．资源现状：自然村依山腰而居，有常规耕地面积约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892</w:t>
      </w:r>
      <w:r>
        <w:rPr>
          <w:rFonts w:hint="eastAsia" w:ascii="仿宋" w:hAnsi="仿宋" w:eastAsia="仿宋" w:cs="仿宋"/>
          <w:sz w:val="32"/>
          <w:szCs w:val="32"/>
        </w:rPr>
        <w:t>亩，林地面积约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2120</w:t>
      </w:r>
      <w:r>
        <w:rPr>
          <w:rFonts w:hint="eastAsia" w:ascii="仿宋" w:hAnsi="仿宋" w:eastAsia="仿宋" w:cs="仿宋"/>
          <w:sz w:val="32"/>
          <w:szCs w:val="32"/>
        </w:rPr>
        <w:t>亩，村庄占地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410</w:t>
      </w:r>
      <w:r>
        <w:rPr>
          <w:rFonts w:hint="eastAsia" w:ascii="仿宋" w:hAnsi="仿宋" w:eastAsia="仿宋" w:cs="仿宋"/>
          <w:sz w:val="32"/>
          <w:szCs w:val="32"/>
        </w:rPr>
        <w:t>余亩。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4．产业现状：种植业以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竹子、核桃、茶叶、</w:t>
      </w:r>
      <w:r>
        <w:rPr>
          <w:rFonts w:hint="eastAsia" w:ascii="仿宋" w:hAnsi="仿宋" w:eastAsia="仿宋" w:cs="仿宋"/>
          <w:sz w:val="32"/>
          <w:szCs w:val="32"/>
        </w:rPr>
        <w:t>玉米为主，有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竹子面积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456亩，</w:t>
      </w:r>
      <w:r>
        <w:rPr>
          <w:rFonts w:hint="eastAsia" w:ascii="仿宋" w:hAnsi="仿宋" w:eastAsia="仿宋" w:cs="仿宋"/>
          <w:sz w:val="32"/>
          <w:szCs w:val="32"/>
        </w:rPr>
        <w:t>茶叶面积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 w:cs="仿宋"/>
          <w:sz w:val="32"/>
          <w:szCs w:val="32"/>
        </w:rPr>
        <w:t>亩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1480</w:t>
      </w:r>
      <w:r>
        <w:rPr>
          <w:rFonts w:hint="eastAsia" w:ascii="仿宋" w:hAnsi="仿宋" w:eastAsia="仿宋" w:cs="仿宋"/>
          <w:sz w:val="32"/>
          <w:szCs w:val="32"/>
        </w:rPr>
        <w:t>亩；养殖业以猪、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牛、</w:t>
      </w:r>
      <w:r>
        <w:rPr>
          <w:rFonts w:hint="eastAsia" w:ascii="仿宋" w:hAnsi="仿宋" w:eastAsia="仿宋" w:cs="仿宋"/>
          <w:sz w:val="32"/>
          <w:szCs w:val="32"/>
        </w:rPr>
        <w:t>鸡为主；副业以外出务工为主。2018年农民人均可支配收入为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10099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5．基础设施：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（1）道路：村主干道至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岔沟上寨</w:t>
      </w:r>
      <w:r>
        <w:rPr>
          <w:rFonts w:hint="eastAsia" w:ascii="仿宋" w:hAnsi="仿宋" w:eastAsia="仿宋" w:cs="仿宋"/>
          <w:sz w:val="32"/>
          <w:szCs w:val="32"/>
        </w:rPr>
        <w:t>自然村，全长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公里，宽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米，目前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已启动实施硬化。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（2）饮水：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岔沟上、下寨自然村已</w:t>
      </w:r>
      <w:r>
        <w:rPr>
          <w:rFonts w:hint="eastAsia" w:ascii="仿宋" w:hAnsi="仿宋" w:eastAsia="仿宋" w:cs="仿宋"/>
          <w:sz w:val="32"/>
          <w:szCs w:val="32"/>
        </w:rPr>
        <w:t>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年解决人畜饮水。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（3）住房：全部为安全稳固住房，全为砖混结构。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（三）优势资源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森林覆盖率高，气候为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温</w:t>
      </w:r>
      <w:r>
        <w:rPr>
          <w:rFonts w:hint="eastAsia" w:ascii="仿宋" w:hAnsi="仿宋" w:eastAsia="仿宋" w:cs="仿宋"/>
          <w:sz w:val="32"/>
          <w:szCs w:val="32"/>
        </w:rPr>
        <w:t>带季风气候，昼夜温差小，水资源充沛。人均常规耕地面积、林地面积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，发展生态产业基础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好</w:t>
      </w:r>
      <w:r>
        <w:rPr>
          <w:rFonts w:hint="eastAsia" w:ascii="仿宋" w:hAnsi="仿宋" w:eastAsia="仿宋" w:cs="仿宋"/>
          <w:sz w:val="32"/>
          <w:szCs w:val="32"/>
        </w:rPr>
        <w:t>，有较大的产业发展空间。村庄内部、周围以及农户周围空间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宽裕</w:t>
      </w:r>
      <w:r>
        <w:rPr>
          <w:rFonts w:hint="eastAsia" w:ascii="仿宋" w:hAnsi="仿宋" w:eastAsia="仿宋" w:cs="仿宋"/>
          <w:sz w:val="32"/>
          <w:szCs w:val="32"/>
        </w:rPr>
        <w:t>，民风淳朴，群众内生动力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足，布局相应公共服务设施难度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大。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二、规划内容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（一）规划思路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自然村地处与中心城镇较为偏远，生态条件优越，产业发展空间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打大</w:t>
      </w:r>
      <w:r>
        <w:rPr>
          <w:rFonts w:hint="eastAsia" w:ascii="仿宋" w:hAnsi="仿宋" w:eastAsia="仿宋" w:cs="仿宋"/>
          <w:sz w:val="32"/>
          <w:szCs w:val="32"/>
        </w:rPr>
        <w:t>。农户沿山腰而居，依山就势，错落有致，呈带状布局。结合区位条件和资源条件，自然村村庄规划定位为：自然山水型。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（二）规划期限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近期：201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—2022年，远期：202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—2035年。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规划内容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项目概算投资 596万元，其中：上级补助 596万元，群众自筹0万元。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道路交通：概算总投资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建设每户入户硬板路，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共计长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530</w:t>
      </w:r>
      <w:r>
        <w:rPr>
          <w:rFonts w:hint="eastAsia" w:ascii="仿宋" w:hAnsi="仿宋" w:eastAsia="仿宋" w:cs="仿宋"/>
          <w:sz w:val="32"/>
          <w:szCs w:val="32"/>
        </w:rPr>
        <w:t>m，宽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z w:val="32"/>
          <w:szCs w:val="32"/>
        </w:rPr>
        <w:t>m，厚20cm，面积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1855</w:t>
      </w:r>
      <w:r>
        <w:rPr>
          <w:rFonts w:hint="eastAsia" w:ascii="仿宋" w:hAnsi="仿宋" w:eastAsia="仿宋" w:cs="仿宋"/>
          <w:sz w:val="32"/>
          <w:szCs w:val="32"/>
        </w:rPr>
        <w:t>平方米，投资单价200元/平方米，概算投资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2、组内主干道从李德勤户至杨学锋户到李桂花户，共计长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0m，宽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m，厚20cm，面积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平方米，投资单价200元/平方米，概算投资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3、龙新东户至李为明户，共计80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m，厚20cm，面积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平方米，投资单价200元/平方米，概算投资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4、龙志华户至李国民户，共计100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m，厚20cm，面积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平方米，投资单价200元/平方米，概算投资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5.老寨路至龙志华户.共计150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m，厚20cm，面积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平方米，投资单价200元/平方米，概算投资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万元；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供水工程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新建20立方水池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个，投资单价2万元/个，更换主水管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cm，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000m，更换入户分支水管20cm，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sz w:val="32"/>
          <w:szCs w:val="32"/>
        </w:rPr>
        <w:t>m。</w:t>
      </w:r>
    </w:p>
    <w:p>
      <w:pPr>
        <w:numPr>
          <w:ilvl w:val="0"/>
          <w:numId w:val="0"/>
        </w:numPr>
        <w:spacing w:line="5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条排污主管。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1号主管道（从龙岩麦家至上寨寨子脚）全长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m，管径为50cm，主管每20m设置1个检查井，共计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个，主管投资单价700元/米（含检查井），主管概算投资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万元；入户支管全长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m，管径为20cm，投资单价300元/米，支管概算投资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万元，概算总投资为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2号主管道（从龙志华家至王升级家下边）全长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m，管径为50cm，主管每20m设置1个检查井，共计7个，主管投资单价700元/米（含检查井），主管概算投资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万元；入户支管全长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m，管径为20cm，投资单价300元/米，支管概算投资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万元，概算总投资为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3号主管道（从王学兵家至李为明家）全长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m，管径为50cm，主管每20m设置1个检查井，共计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5个，主管投资单价700元/米（含检查井），主管概算投资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万元；入户支管全长160m，管径为20cm，投资单价300元/米，支管概算投资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万元，概算总投资为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沟渠改造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（李快明户至李志远家下边）全长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200米设计标准30cm*40cm。投资单价500元/米，概算总投资为12万元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公共空间：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建设2个停车场，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1号停车场，位于李快明家旁边，硬化面积150平方米，厚20cm，投资单价200元/平方米，平整土地概算5000元，概算总投资3.5万元；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2号停车场，位于岔沟下寨缅寺旁，硬化面积150平方米，厚20cm，投资单价200元/平方米，平整土地概算5000元，概算总投资3.5万元；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环卫设施：概算总投资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个垃圾池，投资单价10000元/个，概算总投资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（2）规划建设公厕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个，投资单价60000元/个，概算总投资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亮化工程：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自然村</w:t>
      </w:r>
      <w:r>
        <w:rPr>
          <w:rFonts w:hint="eastAsia" w:ascii="仿宋" w:hAnsi="仿宋" w:eastAsia="仿宋" w:cs="仿宋"/>
          <w:sz w:val="32"/>
          <w:szCs w:val="32"/>
        </w:rPr>
        <w:t>规划安装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 w:cs="仿宋"/>
          <w:sz w:val="32"/>
          <w:szCs w:val="32"/>
        </w:rPr>
        <w:t>盏太阳能路灯。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电力电信：规划新建有线网络设施。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有线网络：入户线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千米。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产业发展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绿化美化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要求每户种植樱桃、桃、梨等果类植物10棵。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（四）实施步骤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1．近期：201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—2022年。完成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道路交通（入户路）、</w:t>
      </w:r>
      <w:r>
        <w:rPr>
          <w:rFonts w:hint="eastAsia" w:ascii="仿宋" w:hAnsi="仿宋" w:eastAsia="仿宋" w:cs="仿宋"/>
          <w:sz w:val="32"/>
          <w:szCs w:val="32"/>
        </w:rPr>
        <w:t>排水工程及污水处理设施、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公共空间、</w:t>
      </w:r>
      <w:r>
        <w:rPr>
          <w:rFonts w:hint="eastAsia" w:ascii="仿宋" w:hAnsi="仿宋" w:eastAsia="仿宋" w:cs="仿宋"/>
          <w:sz w:val="32"/>
          <w:szCs w:val="32"/>
        </w:rPr>
        <w:t>环卫设施、亮化工程、电力电信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产业发展、绿化美化规划内容。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2．远期：202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—2035年。完成道路交通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（基耕路）。</w:t>
      </w:r>
    </w:p>
    <w:p>
      <w:pPr>
        <w:spacing w:line="540" w:lineRule="exact"/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三、规划管理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严格执行规划许可制度，未经许可，任何单位居民不得擅自建设。确需建设的，必须符合规划，由村民提出申请，自然村振兴理事会核实是否符合规划:自然村振兴理事会核实同意后，提交村委会审核提出意见，统一上报乡(镇、街道）审批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(三)严格执行城乡清洁相关法律法规，开展农村人居环境提升行动，提高村庄文明程度。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(五)在自然村振兴理事会成员中,明确庄规划建设专管员，发挥好村庄规划建设专管员作用,加大违法违规建筑治理，发现起拆除一起，确保规划有效实施。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四、规划图件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(一)自然村域规划图(见附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(二)村庄建设规划图(见附件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(三)自然村村规划说明书(见附件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(四)规划建设项目表(见附件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(五)自然村村规民约(见附件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规划工作小组组长：杨建兰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成员：杨建勇、杨建成、李快忠、王永明、李晓东、李菊美、惠国容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、李华。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3520" w:firstLineChars="1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芒卡镇湖广村岔沟上、下寨组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2019年4月11日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B6A7C"/>
    <w:multiLevelType w:val="singleLevel"/>
    <w:tmpl w:val="8B1B6A7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4B46AD"/>
    <w:multiLevelType w:val="singleLevel"/>
    <w:tmpl w:val="414B46A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D72C7"/>
    <w:rsid w:val="01457A91"/>
    <w:rsid w:val="01A24D26"/>
    <w:rsid w:val="08C901B6"/>
    <w:rsid w:val="0A540801"/>
    <w:rsid w:val="0ADE7978"/>
    <w:rsid w:val="0B255AC2"/>
    <w:rsid w:val="17240E65"/>
    <w:rsid w:val="1DB35C52"/>
    <w:rsid w:val="237302CA"/>
    <w:rsid w:val="302035BB"/>
    <w:rsid w:val="309A4C0C"/>
    <w:rsid w:val="381B7C7A"/>
    <w:rsid w:val="3C09215E"/>
    <w:rsid w:val="3E9938E2"/>
    <w:rsid w:val="3EB77613"/>
    <w:rsid w:val="3F2F78D1"/>
    <w:rsid w:val="3F8832EB"/>
    <w:rsid w:val="40DC66A5"/>
    <w:rsid w:val="414450B8"/>
    <w:rsid w:val="414B678D"/>
    <w:rsid w:val="41EB368C"/>
    <w:rsid w:val="4662257D"/>
    <w:rsid w:val="4ECD50D4"/>
    <w:rsid w:val="502E395E"/>
    <w:rsid w:val="595B56CF"/>
    <w:rsid w:val="5DE86101"/>
    <w:rsid w:val="5E734892"/>
    <w:rsid w:val="5F5F1C12"/>
    <w:rsid w:val="616D448F"/>
    <w:rsid w:val="63AD0672"/>
    <w:rsid w:val="6A1F0589"/>
    <w:rsid w:val="6D923C72"/>
    <w:rsid w:val="6F857E69"/>
    <w:rsid w:val="70452C36"/>
    <w:rsid w:val="713C4666"/>
    <w:rsid w:val="75EA5BF6"/>
    <w:rsid w:val="7641198D"/>
    <w:rsid w:val="77C5354C"/>
    <w:rsid w:val="7B204EDB"/>
    <w:rsid w:val="7B9E3859"/>
    <w:rsid w:val="7BF61247"/>
    <w:rsid w:val="7D6C0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杉木明</cp:lastModifiedBy>
  <dcterms:modified xsi:type="dcterms:W3CDTF">2019-05-13T09:17:09Z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