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val="en-US" w:eastAsia="zh-CN" w:bidi="ar"/>
        </w:rPr>
        <w:t xml:space="preserve">  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芒卡镇芒岗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行政村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芒蚌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自然村村庄规划说明书</w:t>
      </w:r>
    </w:p>
    <w:p>
      <w:pPr>
        <w:spacing w:line="700" w:lineRule="exact"/>
        <w:jc w:val="both"/>
        <w:rPr>
          <w:rFonts w:hint="eastAsia" w:ascii="方正小标宋简体" w:eastAsia="方正小标宋简体" w:cs="方正小标宋简体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eastAsia="黑体" w:cs="黑体"/>
          <w:b/>
          <w:lang w:bidi="ar"/>
        </w:rPr>
      </w:pPr>
      <w:r>
        <w:rPr>
          <w:rFonts w:hint="eastAsia" w:eastAsia="黑体" w:cs="黑体"/>
          <w:b/>
          <w:lang w:val="en-US" w:eastAsia="zh-CN" w:bidi="ar"/>
        </w:rPr>
        <w:t>一、</w:t>
      </w:r>
      <w:r>
        <w:rPr>
          <w:rFonts w:hint="eastAsia" w:eastAsia="黑体" w:cs="黑体"/>
          <w:b/>
          <w:lang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bidi="ar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行政村</w:t>
      </w:r>
      <w:r>
        <w:rPr>
          <w:rFonts w:hint="eastAsia" w:cs="Times New Roman"/>
          <w:b w:val="0"/>
          <w:bCs w:val="0"/>
          <w:sz w:val="32"/>
          <w:szCs w:val="32"/>
          <w:lang w:eastAsia="zh-CN" w:bidi="ar"/>
        </w:rPr>
        <w:t>芒蚌</w:t>
      </w:r>
      <w:r>
        <w:rPr>
          <w:rFonts w:hint="default" w:ascii="Times New Roman" w:hAnsi="Times New Roman" w:cs="Times New Roman"/>
          <w:sz w:val="32"/>
          <w:szCs w:val="32"/>
        </w:rPr>
        <w:t>自然村村庄规划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。该自然村规划经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年</w:t>
      </w:r>
      <w:r>
        <w:rPr>
          <w:rFonts w:hint="eastAsia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月</w:t>
      </w:r>
      <w:r>
        <w:rPr>
          <w:rFonts w:hint="eastAsia" w:cs="Times New Roman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1．地理区位：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</w:t>
      </w:r>
      <w:r>
        <w:rPr>
          <w:rFonts w:hint="eastAsia" w:cs="Times New Roman"/>
          <w:color w:val="auto"/>
          <w:sz w:val="32"/>
          <w:szCs w:val="32"/>
          <w:lang w:eastAsia="zh-CN"/>
        </w:rPr>
        <w:t>芒蚌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eastAsia="仿宋_GB2312" w:cs="Times New Roman"/>
          <w:color w:val="auto"/>
          <w:spacing w:val="-16"/>
          <w:sz w:val="32"/>
          <w:szCs w:val="32"/>
          <w:lang w:bidi="ar"/>
        </w:rPr>
        <w:t>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距镇政府驻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和村委会驻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海拔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米，森林覆盖率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达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63.8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 w:bidi="ar"/>
        </w:rPr>
        <w:t>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，年均降水量</w:t>
      </w:r>
      <w:r>
        <w:rPr>
          <w:rFonts w:hint="eastAsia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毫米，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森林、土地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充足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2．人口现状：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自然村共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38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169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3．资源现状：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自然村依山腰而居，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有常规耕地面积约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861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亩，林地面积约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1914.1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亩，村庄占地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4．产业现状：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种植业以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水稻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、玉米为主，有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面积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234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茶叶面积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亩；养殖业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养猪，养鸡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为主；副业以外出务工为主。201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年农民人均可支配收入为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 w:bidi="ar"/>
        </w:rPr>
        <w:t>13179.32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5．基础设施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现状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（1）道路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村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已通入村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主干道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硬板路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公里，通村内户外硬板路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0.6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电力设施：该村已通10千伏以上的动力电。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eastAsia" w:cs="Times New Roman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lang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给水设施</w:t>
      </w:r>
      <w:r>
        <w:rPr>
          <w:rFonts w:hint="default" w:ascii="Times New Roman" w:hAnsi="Times New Roman" w:cs="Times New Roman"/>
          <w:color w:val="auto"/>
          <w:lang w:bidi="ar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</w:t>
      </w:r>
      <w:r>
        <w:rPr>
          <w:rFonts w:hint="default" w:ascii="Times New Roman" w:hAnsi="Times New Roman" w:cs="Times New Roman"/>
          <w:color w:val="auto"/>
          <w:lang w:eastAsia="zh-CN" w:bidi="ar"/>
        </w:rPr>
        <w:t>村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已通到户自来安全饮用水。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</w:t>
      </w:r>
      <w:r>
        <w:rPr>
          <w:rFonts w:hint="eastAsia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）排水设施：该村</w:t>
      </w:r>
      <w:r>
        <w:rPr>
          <w:rFonts w:hint="eastAsia" w:cs="Times New Roman"/>
          <w:color w:val="auto"/>
          <w:lang w:val="en-US" w:eastAsia="zh-CN" w:bidi="ar"/>
        </w:rPr>
        <w:t>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排水设施，农户生活污水及雨水均呈</w:t>
      </w:r>
      <w:r>
        <w:rPr>
          <w:rFonts w:hint="eastAsia" w:cs="Times New Roman"/>
          <w:color w:val="auto"/>
          <w:lang w:val="en-US" w:eastAsia="zh-CN" w:bidi="ar"/>
        </w:rPr>
        <w:t>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序排放状态。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</w:t>
      </w:r>
      <w:r>
        <w:rPr>
          <w:rFonts w:hint="eastAsia" w:cs="Times New Roman"/>
          <w:color w:val="auto"/>
          <w:lang w:val="en-US" w:eastAsia="zh-CN" w:bidi="ar"/>
        </w:rPr>
        <w:t>5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）环卫设施：该村环卫设施非常简陋，全村只有</w:t>
      </w:r>
      <w:r>
        <w:rPr>
          <w:rFonts w:hint="eastAsia" w:cs="Times New Roman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个垃圾池，垃圾处理方式为集中焚烧和填埋。建有</w:t>
      </w:r>
      <w:r>
        <w:rPr>
          <w:rFonts w:hint="eastAsia" w:cs="Times New Roman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幢6蹲位的公共厕所。</w:t>
      </w:r>
      <w:r>
        <w:rPr>
          <w:rFonts w:hint="default" w:ascii="Times New Roman" w:hAnsi="Times New Roman" w:cs="Times New Roman"/>
          <w:color w:val="auto"/>
          <w:lang w:eastAsia="zh-CN" w:bidi="ar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lang w:bidi="ar"/>
        </w:rPr>
        <w:t>）住房：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</w:t>
      </w:r>
      <w:r>
        <w:rPr>
          <w:rFonts w:hint="eastAsia" w:cs="Times New Roman"/>
          <w:color w:val="auto"/>
          <w:lang w:val="en-US" w:eastAsia="zh-CN" w:bidi="ar"/>
        </w:rPr>
        <w:t>6户为砖混结构安全住房，32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户全为砖木结构安全稳固住房。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（三）优势资源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一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eastAsia" w:cs="Times New Roman"/>
          <w:color w:val="auto"/>
          <w:lang w:val="en-US" w:eastAsia="zh-CN" w:bidi="ar"/>
        </w:rPr>
        <w:t>芒蚌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自然村周边树茂林密，南、西、北面为山林景观，自然环境较好，山</w:t>
      </w:r>
      <w:r>
        <w:rPr>
          <w:rFonts w:hint="eastAsia" w:cs="Times New Roman"/>
          <w:color w:val="auto"/>
          <w:lang w:val="en-US" w:eastAsia="zh-CN" w:bidi="ar"/>
        </w:rPr>
        <w:t>清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水秀，景色宜人，乡村旅游发展潜力大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 w:bidi="ar"/>
        </w:rPr>
        <w:t>；二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是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该村</w:t>
      </w:r>
      <w:r>
        <w:rPr>
          <w:rFonts w:hint="default" w:ascii="Times New Roman" w:hAnsi="Times New Roman" w:cs="Times New Roman"/>
          <w:color w:val="auto"/>
          <w:lang w:bidi="ar"/>
        </w:rPr>
        <w:t>森林覆盖率高，气候适宜</w:t>
      </w:r>
      <w:r>
        <w:rPr>
          <w:rFonts w:hint="default" w:ascii="Times New Roman" w:hAnsi="Times New Roman" w:cs="Times New Roman"/>
          <w:color w:val="auto"/>
          <w:lang w:eastAsia="zh-CN" w:bidi="ar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森林覆盖率</w:t>
      </w:r>
      <w:r>
        <w:rPr>
          <w:rFonts w:hint="eastAsia" w:cs="Times New Roman"/>
          <w:color w:val="auto"/>
          <w:lang w:val="en-US" w:eastAsia="zh-CN" w:bidi="ar"/>
        </w:rPr>
        <w:t>高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bidi="ar"/>
        </w:rPr>
        <w:t>人均常规耕地、轮耕荒山、林地面积多，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人均常规耕地面积</w:t>
      </w:r>
      <w:r>
        <w:rPr>
          <w:rFonts w:hint="eastAsia" w:cs="Times New Roman"/>
          <w:color w:val="auto"/>
          <w:lang w:val="en-US" w:eastAsia="zh-CN" w:bidi="ar"/>
        </w:rPr>
        <w:t>5.09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亩、林地面积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1914.1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亩，</w:t>
      </w:r>
      <w:r>
        <w:rPr>
          <w:rFonts w:hint="default" w:ascii="Times New Roman" w:hAnsi="Times New Roman" w:cs="Times New Roman"/>
          <w:color w:val="auto"/>
          <w:lang w:bidi="ar"/>
        </w:rPr>
        <w:t>发展生态产业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前景</w:t>
      </w:r>
      <w:r>
        <w:rPr>
          <w:rFonts w:hint="default" w:ascii="Times New Roman" w:hAnsi="Times New Roman" w:cs="Times New Roman"/>
          <w:color w:val="auto"/>
          <w:lang w:bidi="ar"/>
        </w:rPr>
        <w:t>好，有较大的产业发展空间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；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三是</w:t>
      </w:r>
      <w:r>
        <w:rPr>
          <w:rFonts w:hint="default" w:ascii="Times New Roman" w:hAnsi="Times New Roman" w:cs="Times New Roman"/>
          <w:color w:val="auto"/>
          <w:lang w:bidi="ar"/>
        </w:rPr>
        <w:t>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</w:rPr>
      </w:pPr>
      <w:r>
        <w:rPr>
          <w:rFonts w:hint="default" w:ascii="Times New Roman" w:hAnsi="Times New Roman" w:eastAsia="黑体" w:cs="Times New Roman"/>
          <w:b/>
          <w:color w:val="auto"/>
          <w:lang w:bidi="ar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 w:bidi="ar"/>
        </w:rPr>
        <w:t>提升改造行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（二）规划期限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>近期：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2018—2022</w:t>
      </w:r>
      <w:r>
        <w:rPr>
          <w:rFonts w:hint="default" w:ascii="Times New Roman" w:hAnsi="Times New Roman" w:cs="Times New Roman"/>
          <w:color w:val="auto"/>
          <w:lang w:bidi="ar"/>
        </w:rPr>
        <w:t>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项目概算投资 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1737.635+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万元，其中：上级补助 </w:t>
      </w:r>
      <w:r>
        <w:rPr>
          <w:rFonts w:hint="eastAsia" w:eastAsia="仿宋" w:cs="Times New Roman"/>
          <w:color w:val="FF0000"/>
          <w:sz w:val="32"/>
          <w:szCs w:val="32"/>
          <w:lang w:val="en-US" w:eastAsia="zh-CN"/>
        </w:rPr>
        <w:t>1726.235+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万元，群众自筹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11.4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bidi="ar"/>
        </w:rPr>
        <w:t>1．道路交通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1415.475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eastAsia="仿宋_GB2312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硬化、新建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条段硬板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条机耕路。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一是新建4条产业路，全长19.5km，设计硬化宽度4m，厚度20cm，概算投资1404万元。二是新建村内一条道路，全长300m，设计硬化宽度4.5m，厚度10cm，概算投资11.475万元。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机耕</w:t>
      </w:r>
      <w:r>
        <w:rPr>
          <w:rFonts w:hint="eastAsia" w:ascii="仿宋" w:hAnsi="仿宋" w:eastAsia="仿宋" w:cs="仿宋"/>
          <w:sz w:val="32"/>
          <w:szCs w:val="32"/>
        </w:rPr>
        <w:t>道路：概算总投资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1404</w:t>
      </w:r>
      <w:r>
        <w:rPr>
          <w:rFonts w:hint="eastAsia" w:ascii="仿宋" w:hAnsi="仿宋" w:eastAsia="仿宋" w:cs="仿宋"/>
          <w:sz w:val="32"/>
          <w:szCs w:val="32"/>
        </w:rPr>
        <w:t>万元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小组1号机耕道路－李林冲户地至彭江林地（硬化），全长2km，设计硬化宽度4m，厚度20cm，概算投资144万元。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小组2号机耕道路－白岩散户公片地至尹绍忠地（硬化），全长8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km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，设计硬化宽度4m，厚度20cm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576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小组3号机耕道路－新寨子边至杨老三地（硬化），全长4.5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km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，设计硬化宽度4m，厚度20cm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概算投资324万元。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小组4号机耕道路－老寨子边至白老三地（硬化），全长5km，设计硬化宽度4m，厚度20cm，概算投资360万元。</w:t>
      </w:r>
    </w:p>
    <w:p>
      <w:pPr>
        <w:rPr>
          <w:rFonts w:hint="default"/>
          <w:lang w:val="en-US" w:eastAsia="zh-CN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 xml:space="preserve">      （2）村内道路，概算投资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11.475万元。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．排水工程：概算投资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18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一是自然村规划建设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条沟渠。总计长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km。每条排水沟底部分别设计生态处理池，实施污水生态处理，水沟采用盖板方式实施。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eastAsia="仿宋" w:cs="Times New Roman"/>
          <w:b w:val="0"/>
          <w:bCs/>
          <w:color w:val="auto"/>
          <w:lang w:val="en-US" w:eastAsia="zh-CN" w:bidi="ar"/>
        </w:rPr>
      </w:pPr>
      <w:r>
        <w:rPr>
          <w:rFonts w:hint="eastAsia" w:cs="Times New Roman"/>
          <w:b w:val="0"/>
          <w:bCs/>
          <w:color w:val="auto"/>
          <w:lang w:val="en-US" w:eastAsia="zh-CN" w:bidi="ar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村内排水沟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1号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排水沟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-白加兰户至污水处理池，全长400m，设计标准30cm×40cm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，投资概算7.2万元。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2号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排水沟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-彭老二户至污水处理池，全长600m，设计标准30cm×40cm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，投资概算10.8万元。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．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公共空间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概算投资</w:t>
      </w:r>
      <w:r>
        <w:rPr>
          <w:rFonts w:hint="eastAsia" w:ascii="仿宋" w:hAnsi="仿宋" w:eastAsia="仿宋" w:cs="仿宋"/>
          <w:b w:val="0"/>
          <w:bCs/>
          <w:color w:val="FF0000"/>
          <w:sz w:val="32"/>
          <w:szCs w:val="32"/>
          <w:highlight w:val="none"/>
          <w:lang w:val="en-US" w:eastAsia="zh-CN"/>
        </w:rPr>
        <w:t>172.82+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b w:val="0"/>
          <w:bCs/>
          <w:color w:val="auto"/>
          <w:highlight w:val="none"/>
          <w:lang w:eastAsia="zh-CN" w:bidi="ar"/>
        </w:rPr>
        <w:t>新建</w:t>
      </w:r>
      <w:r>
        <w:rPr>
          <w:rFonts w:hint="eastAsia" w:ascii="仿宋" w:hAnsi="仿宋" w:eastAsia="仿宋" w:cs="仿宋"/>
          <w:sz w:val="32"/>
          <w:szCs w:val="32"/>
        </w:rPr>
        <w:t>村民打歌广场，硬化面积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00㎡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，投资概算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8.72万元。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池塘修缮（长30米*宽30*高1.5米）</w:t>
      </w:r>
      <w:r>
        <w:rPr>
          <w:rFonts w:hint="eastAsia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投资概算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新建佤族特色寨门1座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概算投资15万元。</w:t>
      </w:r>
    </w:p>
    <w:p>
      <w:pPr>
        <w:pStyle w:val="2"/>
        <w:ind w:firstLine="640" w:firstLineChars="200"/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（4）新建撒拉房1幢40平方米，投资概算3.2万元。</w:t>
      </w:r>
    </w:p>
    <w:p>
      <w:pPr>
        <w:rPr>
          <w:rFonts w:hint="default"/>
          <w:lang w:val="en-US" w:eastAsia="zh-CN"/>
        </w:rPr>
      </w:pP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 xml:space="preserve">    （5）新建消费栓1个、消防管道30米，投资概算</w:t>
      </w:r>
      <w:r>
        <w:rPr>
          <w:rFonts w:hint="eastAsia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ind w:firstLine="640"/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eastAsia"/>
          <w:lang w:val="en-US" w:eastAsia="zh-CN"/>
        </w:rPr>
        <w:t>（6）新建</w:t>
      </w:r>
      <w:bookmarkStart w:id="0" w:name="_GoBack"/>
      <w:bookmarkEnd w:id="0"/>
      <w:r>
        <w:rPr>
          <w:rFonts w:hint="eastAsia"/>
          <w:lang w:val="en-US" w:eastAsia="zh-CN"/>
        </w:rPr>
        <w:t>消防池5立方，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投资概算</w:t>
      </w:r>
      <w:r>
        <w:rPr>
          <w:rFonts w:hint="eastAsia" w:cs="Times New Roman"/>
          <w:b w:val="0"/>
          <w:bCs/>
          <w:color w:val="FF0000"/>
          <w:highlight w:val="none"/>
          <w:lang w:val="en-US" w:eastAsia="zh-CN" w:bidi="ar"/>
        </w:rPr>
        <w:t>0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spacing w:line="540" w:lineRule="exac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．环卫设施：概算总投资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13.14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）塑料垃圾桶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38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个：购置塑料垃圾桶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38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个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1.14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（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）公厕：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新建水冲式公厕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幢6个蹲位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highlight w:val="none"/>
          <w:lang w:val="en-US" w:eastAsia="zh-CN" w:bidi="ar"/>
        </w:rPr>
        <w:t>12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eastAsia="zh-CN" w:bidi="ar"/>
        </w:rPr>
        <w:t>５</w:t>
      </w:r>
      <w:r>
        <w:rPr>
          <w:rFonts w:hint="default" w:ascii="Times New Roman" w:hAnsi="Times New Roman" w:cs="Times New Roman"/>
          <w:b w:val="0"/>
          <w:bCs/>
          <w:color w:val="auto"/>
          <w:highlight w:val="none"/>
          <w:lang w:bidi="ar"/>
        </w:rPr>
        <w:t>．亮化工程：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21.6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购置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安装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36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盏太阳能路灯，概算总投资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ar"/>
        </w:rPr>
        <w:t>21.6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bidi="ar"/>
        </w:rPr>
        <w:t>万元。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．电力电信：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（1）有线网络：主线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color w:val="5B9BD5" w:themeColor="accent1"/>
          <w:sz w:val="32"/>
          <w:szCs w:val="32"/>
          <w:highlight w:val="yellow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（2）有线电视：主线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千米，入户线2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.5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．</w:t>
      </w:r>
      <w:r>
        <w:rPr>
          <w:rFonts w:hint="default" w:ascii="Times New Roman" w:hAnsi="Times New Roman" w:cs="Times New Roman"/>
          <w:b w:val="0"/>
          <w:bCs w:val="0"/>
          <w:color w:val="auto"/>
          <w:highlight w:val="none"/>
          <w:lang w:bidi="ar"/>
        </w:rPr>
        <w:t>产业发展：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概算总投资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77.5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抓好现有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甘蔗</w:t>
      </w:r>
      <w:r>
        <w:rPr>
          <w:rFonts w:hint="eastAsia" w:ascii="仿宋" w:hAnsi="仿宋" w:eastAsia="仿宋" w:cs="仿宋"/>
          <w:sz w:val="32"/>
          <w:szCs w:val="32"/>
        </w:rPr>
        <w:t>、茶叶管护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）发展生态茶园建设100亩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,概算投资</w:t>
      </w:r>
      <w:r>
        <w:rPr>
          <w:rFonts w:hint="eastAsia" w:cs="Times New Roman"/>
          <w:color w:val="auto"/>
          <w:highlight w:val="none"/>
          <w:lang w:val="en-US" w:eastAsia="zh-CN" w:bidi="ar"/>
        </w:rPr>
        <w:t>20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Times New Roman"/>
          <w:color w:val="auto"/>
          <w:highlight w:val="none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（</w:t>
      </w:r>
      <w:r>
        <w:rPr>
          <w:rFonts w:hint="eastAsia" w:cs="Times New Roman"/>
          <w:color w:val="auto"/>
          <w:highlight w:val="none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）</w:t>
      </w:r>
      <w:r>
        <w:rPr>
          <w:rFonts w:hint="eastAsia" w:cs="Times New Roman"/>
          <w:color w:val="auto"/>
          <w:highlight w:val="none"/>
          <w:lang w:eastAsia="zh-CN" w:bidi="ar"/>
        </w:rPr>
        <w:t>发展三华李种植200亩，投资概算</w:t>
      </w:r>
      <w:r>
        <w:rPr>
          <w:rFonts w:hint="eastAsia" w:cs="Times New Roman"/>
          <w:color w:val="auto"/>
          <w:highlight w:val="none"/>
          <w:lang w:val="en-US" w:eastAsia="zh-CN" w:bidi="ar"/>
        </w:rPr>
        <w:t>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Times New Roman"/>
          <w:color w:val="auto"/>
          <w:highlight w:val="none"/>
          <w:lang w:val="en-US" w:eastAsia="zh-CN" w:bidi="ar"/>
        </w:rPr>
      </w:pPr>
      <w:r>
        <w:rPr>
          <w:rFonts w:hint="eastAsia" w:cs="Times New Roman"/>
          <w:color w:val="auto"/>
          <w:highlight w:val="none"/>
          <w:lang w:eastAsia="zh-CN" w:bidi="ar"/>
        </w:rPr>
        <w:t>（</w:t>
      </w:r>
      <w:r>
        <w:rPr>
          <w:rFonts w:hint="eastAsia" w:cs="Times New Roman"/>
          <w:color w:val="auto"/>
          <w:highlight w:val="none"/>
          <w:lang w:val="en-US" w:eastAsia="zh-CN" w:bidi="ar"/>
        </w:rPr>
        <w:t>3</w:t>
      </w:r>
      <w:r>
        <w:rPr>
          <w:rFonts w:hint="eastAsia" w:cs="Times New Roman"/>
          <w:color w:val="auto"/>
          <w:highlight w:val="none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新建小型野生菌及竹笋初制加工厂</w:t>
      </w:r>
      <w:r>
        <w:rPr>
          <w:rFonts w:hint="eastAsia" w:cs="Times New Roman"/>
          <w:color w:val="auto"/>
          <w:highlight w:val="none"/>
          <w:lang w:val="en-US" w:eastAsia="zh-CN" w:bidi="ar"/>
        </w:rPr>
        <w:t>250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平方米</w:t>
      </w:r>
      <w:r>
        <w:rPr>
          <w:rFonts w:hint="eastAsia" w:cs="Times New Roman"/>
          <w:color w:val="auto"/>
          <w:highlight w:val="none"/>
          <w:lang w:eastAsia="zh-CN" w:bidi="ar"/>
        </w:rPr>
        <w:t>，投资概算</w:t>
      </w:r>
      <w:r>
        <w:rPr>
          <w:rFonts w:hint="eastAsia" w:cs="Times New Roman"/>
          <w:color w:val="auto"/>
          <w:highlight w:val="none"/>
          <w:lang w:val="en-US" w:eastAsia="zh-CN" w:bidi="ar"/>
        </w:rPr>
        <w:t>37.5万元。</w:t>
      </w:r>
    </w:p>
    <w:p>
      <w:pPr>
        <w:pStyle w:val="2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cs="Times New Roman"/>
          <w:color w:val="auto"/>
          <w:highlight w:val="none"/>
          <w:lang w:val="en-US" w:eastAsia="zh-CN" w:bidi="ar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( 4）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产业发展备用地750亩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．绿化美化：概算投资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（1）实施村庄绿化工程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1500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㎡，在主干道、活动室、活动场地周边种植花草树木，概算投资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（2）实施庭院绿化美化工程，农户庭院及周边至少栽植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盆花卉或绿色植物。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．用地规划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bidi="ar"/>
        </w:rPr>
        <w:t>划定村庄建设边界，预留新增民居建设用地地基平整</w:t>
      </w:r>
      <w:r>
        <w:rPr>
          <w:rFonts w:hint="eastAsia" w:cs="Times New Roman"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color w:val="auto"/>
          <w:lang w:bidi="ar"/>
        </w:rPr>
        <w:t>亩</w:t>
      </w:r>
      <w:r>
        <w:rPr>
          <w:rFonts w:hint="eastAsia" w:cs="Times New Roman"/>
          <w:color w:val="auto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lang w:bidi="ar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1．近期：201</w:t>
      </w:r>
      <w:r>
        <w:rPr>
          <w:rFonts w:hint="default" w:ascii="Times New Roman" w:hAnsi="Times New Roman" w:cs="Times New Roman"/>
          <w:b w:val="0"/>
          <w:bCs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lang w:bidi="ar"/>
        </w:rPr>
        <w:t>—2022年。完成道路交通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、</w:t>
      </w:r>
      <w:r>
        <w:rPr>
          <w:rFonts w:hint="default" w:ascii="Times New Roman" w:hAnsi="Times New Roman" w:cs="Times New Roman"/>
          <w:b w:val="0"/>
          <w:bCs/>
          <w:spacing w:val="8"/>
          <w:lang w:val="en-US" w:eastAsia="zh-CN" w:bidi="ar"/>
        </w:rPr>
        <w:t>排水、公共空间、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环卫设施、亮化工程、绿化美化规划内容</w:t>
      </w:r>
      <w:r>
        <w:rPr>
          <w:rFonts w:hint="default" w:ascii="Times New Roman" w:hAnsi="Times New Roman" w:cs="Times New Roman"/>
          <w:b w:val="0"/>
          <w:bCs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2．远期：2022—2035年。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完成产业发展、电力电信、民居建设等规划内容。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黑体" w:cs="Times New Roman"/>
          <w:b/>
          <w:lang w:bidi="ar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</w:t>
      </w:r>
      <w:r>
        <w:rPr>
          <w:rFonts w:hint="default" w:ascii="Times New Roman" w:hAnsi="Times New Roman" w:cs="Times New Roman"/>
          <w:lang w:val="en-US" w:eastAsia="zh-CN" w:bidi="ar"/>
        </w:rPr>
        <w:t>镇级</w:t>
      </w:r>
      <w:r>
        <w:rPr>
          <w:rFonts w:hint="default" w:ascii="Times New Roman" w:hAnsi="Times New Roman" w:cs="Times New Roman"/>
          <w:lang w:bidi="ar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default" w:ascii="Times New Roman" w:hAnsi="Times New Roman" w:cs="Times New Roman"/>
          <w:lang w:bidi="ar"/>
        </w:rPr>
        <w:t>（三）严格执行城乡清洁相关法律法规，开展农村人居</w:t>
      </w:r>
      <w:r>
        <w:rPr>
          <w:rFonts w:hint="eastAsia" w:cs="仿宋_GB2312"/>
          <w:sz w:val="32"/>
          <w:szCs w:val="32"/>
          <w:lang w:bidi="ar"/>
        </w:rPr>
        <w:t>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bidi="ar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bidi="ar"/>
        </w:rPr>
      </w:pPr>
      <w:r>
        <w:rPr>
          <w:rFonts w:hint="eastAsia" w:cs="仿宋_GB2312"/>
          <w:sz w:val="32"/>
          <w:szCs w:val="32"/>
          <w:lang w:bidi="ar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规划工作小组组长：</w:t>
      </w:r>
      <w:r>
        <w:rPr>
          <w:rFonts w:hint="eastAsia"/>
          <w:color w:val="auto"/>
          <w:sz w:val="32"/>
          <w:szCs w:val="32"/>
          <w:lang w:eastAsia="zh-CN"/>
        </w:rPr>
        <w:t>白忠新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2240" w:firstLineChars="700"/>
        <w:rPr>
          <w:rFonts w:hint="eastAsia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 w:cs="Times New Roman"/>
          <w:sz w:val="32"/>
          <w:szCs w:val="32"/>
          <w:lang w:val="en-US" w:eastAsia="zh-CN"/>
        </w:rPr>
        <w:t>李明强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cs="Times New Roman"/>
          <w:sz w:val="32"/>
          <w:szCs w:val="32"/>
          <w:lang w:val="en-US" w:eastAsia="zh-CN"/>
        </w:rPr>
        <w:t>杨娟美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cs="Times New Roman"/>
          <w:b w:val="0"/>
          <w:bCs w:val="0"/>
          <w:kern w:val="2"/>
          <w:sz w:val="32"/>
          <w:szCs w:val="32"/>
          <w:lang w:val="en-US" w:eastAsia="zh-CN" w:bidi="ar-SA"/>
        </w:rPr>
        <w:t>白金光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 xml:space="preserve">李红忠   </w:t>
      </w:r>
    </w:p>
    <w:p>
      <w:pPr>
        <w:ind w:firstLine="3200" w:firstLineChars="10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李洪军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2560" w:firstLineChars="800"/>
        <w:rPr>
          <w:rFonts w:hint="eastAsia" w:ascii="仿宋_GB2312" w:hAnsi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村民委员会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二0一九年四月六日</w:t>
      </w:r>
    </w:p>
    <w:p/>
    <w:sectPr>
      <w:footerReference r:id="rId3" w:type="default"/>
      <w:pgSz w:w="11906" w:h="16838"/>
      <w:pgMar w:top="2041" w:right="1474" w:bottom="1757" w:left="147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2698115</wp:posOffset>
              </wp:positionH>
              <wp:positionV relativeFrom="paragraph">
                <wp:posOffset>-113665</wp:posOffset>
              </wp:positionV>
              <wp:extent cx="47244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5pt;margin-top:-8.95pt;height:20.5pt;width:37.2pt;mso-position-horizontal-relative:margin;z-index:251659264;mso-width-relative:page;mso-height-relative:page;" filled="f" stroked="f" coordsize="21600,21600" o:gfxdata="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117X3ZAAAACgEAAA8AAAAAAAAAAQAgAAAAIgAAAGRycy9kb3ducmV2&#10;LnhtbFBLAQIUABQAAAAIAIdO4kD+Vdm0NAIAAGE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7AC4D"/>
    <w:multiLevelType w:val="singleLevel"/>
    <w:tmpl w:val="10B7AC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82D41AD"/>
    <w:multiLevelType w:val="singleLevel"/>
    <w:tmpl w:val="782D41A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YWYyZjNkZGQwODg5YzMzYTQyNDNmZDQ4M2UzNTAifQ=="/>
  </w:docVars>
  <w:rsids>
    <w:rsidRoot w:val="02D01FDD"/>
    <w:rsid w:val="006725DF"/>
    <w:rsid w:val="02D01FDD"/>
    <w:rsid w:val="08BC3CF3"/>
    <w:rsid w:val="0AC36273"/>
    <w:rsid w:val="0B732601"/>
    <w:rsid w:val="0FA6241F"/>
    <w:rsid w:val="11254126"/>
    <w:rsid w:val="154105E4"/>
    <w:rsid w:val="199C5594"/>
    <w:rsid w:val="1A8C0991"/>
    <w:rsid w:val="23867276"/>
    <w:rsid w:val="239B2F14"/>
    <w:rsid w:val="23B44CA4"/>
    <w:rsid w:val="260A68F9"/>
    <w:rsid w:val="316C19FD"/>
    <w:rsid w:val="323556D7"/>
    <w:rsid w:val="345E541B"/>
    <w:rsid w:val="37757237"/>
    <w:rsid w:val="38EF7AD8"/>
    <w:rsid w:val="3C437A28"/>
    <w:rsid w:val="3CA2265D"/>
    <w:rsid w:val="3EAF3E0C"/>
    <w:rsid w:val="41D90AAE"/>
    <w:rsid w:val="42F34328"/>
    <w:rsid w:val="473422CE"/>
    <w:rsid w:val="47AD419F"/>
    <w:rsid w:val="485D74B8"/>
    <w:rsid w:val="48DE5701"/>
    <w:rsid w:val="4EAD0EA9"/>
    <w:rsid w:val="50467F56"/>
    <w:rsid w:val="51186681"/>
    <w:rsid w:val="53A5246F"/>
    <w:rsid w:val="53E9235F"/>
    <w:rsid w:val="598B0793"/>
    <w:rsid w:val="5E696B43"/>
    <w:rsid w:val="5F395776"/>
    <w:rsid w:val="603B19CF"/>
    <w:rsid w:val="609C02AE"/>
    <w:rsid w:val="6511509D"/>
    <w:rsid w:val="689C2141"/>
    <w:rsid w:val="6A095323"/>
    <w:rsid w:val="6B05413C"/>
    <w:rsid w:val="6F3332B3"/>
    <w:rsid w:val="78BE3912"/>
    <w:rsid w:val="7AFE08EF"/>
    <w:rsid w:val="7B2C32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2019-04-12T06:57:00Z</dcterms:created>
  <dc:creator>格不勒改</dc:creator>
  <cp:lastModifiedBy>陈燕梅</cp:lastModifiedBy>
  <dcterms:modified xsi:type="dcterms:W3CDTF">2024-09-27T08:43:22Z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BD6534580AF740D2A6281A46D64EBC99_12</vt:lpwstr>
  </property>
</Properties>
</file>