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沧源佤族自治县班洪乡班莫村委会班莫上寨、班莫下寨（集聚提升自然山水型）自然村村庄规划说明书</w:t>
      </w:r>
    </w:p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政策背景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班洪乡班莫村委会班莫上寨、班莫下寨。该自然村规划经2019年3月12日自然村村民代表会议审议表决通过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（二）村情概况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（1）班莫上寨村情概况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1．地理区位：班洪乡班莫村班莫上寨自然村，属于山区。距离村委会0.8公里，距离镇15.2公里。海拔1200米，年平均气温20℃，年降水量2000毫米，全村辖1个村民小组，农户48户169人。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地貌特征。平均海拔1200米，属山区村。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气候土壤。年平均降水量2000毫米，属中亚带气候，立体气候特征十分明显；土壤多为碱性，适宜种植水稻。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2．人口现状：该村现有农户48户，共乡村人口169人，其中男性97人，女性72人。其中农业人口169人，劳动力131人。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3．资源现状：全村有耕地总面积726.00亩(其中：田62.00亩，地664.00亩)，人均耕地4.97亩，主要种植水稻玉米等作物；拥有林地8241.00亩，其中经济林果地705.00亩，人均经济林果地4.2亩。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4．产业现状：该村的主要产业为木薯、茶叶,主要销售往本县。2018年 主产业全村销售总收入33.08万元， 该村目前正在发展紫胶特色产业，计划大力发展木薯、茶叶产业。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2018年底，全村有48户通自来水，无农户饮用井水，有48户通电，拥有电视机农户48户 ，安装固定电话或拥有移动电话的农户数46户，其中拥有移动电话农户数46户。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该村到2018年底，有3户居住砖木结构住房，</w:t>
      </w:r>
      <w:r>
        <w:rPr>
          <w:rFonts w:ascii="宋体" w:hAnsi="宋体" w:eastAsia="宋体" w:cs="宋体"/>
          <w:color w:val="auto"/>
          <w:sz w:val="32"/>
          <w:szCs w:val="32"/>
        </w:rPr>
        <w:t>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0</w:t>
      </w:r>
      <w:r>
        <w:rPr>
          <w:rFonts w:ascii="宋体" w:hAnsi="宋体" w:eastAsia="宋体" w:cs="宋体"/>
          <w:color w:val="auto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全村48户农户家家通自来水，饮水安全得到了保障，有自然村活动室一间。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（2）班莫下寨村情概况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1．地理区位：班洪乡班莫村班莫下寨自然村，属于山区。距离村委会0.8公里，距离镇15.2公里。海拔1200米，年平均气温20℃，年降水量2000毫米，全村辖1个村民小组，农户41户138人。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地貌特征。平均海拔1200米，属山区村。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气候土壤。年平均降水量2000毫米，属中亚带气候，立体气候特征十分明显；土壤多为碱性，适宜种植水稻。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2．人口现状：该村现有农户41户，共乡村人口138人，其中男性72人，女性66人。其中农业人口138人，劳动力100人。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3．资源现状：全村有耕地总面积374.00亩(其中：田3.00亩，地371.00亩)，人均耕地2.67亩，主要种植水稻玉米等作物；拥有林地8622.00亩，其中经济林果地869.00亩，人均经济林果地6.2亩。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4．产业现状：该村的主要产业为橡胶、木薯、茶叶,主要销售往本县。2018年 主产业全村销售总收入41.14万元， 该村目前正在发展紫胶特色产业，计划大力发展橡胶、木薯、茶叶产业。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2018年底，全村有41户通自来水，无农户饮用井水，有41户通电，拥有电视机农户38户 ，安装固定电话或拥有移动电话的农户数38户，其中拥有移动电话农户数38户。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该村到2018年底，有1户居住砖木结构住房，</w:t>
      </w:r>
      <w:r>
        <w:rPr>
          <w:rFonts w:ascii="宋体" w:hAnsi="宋体" w:eastAsia="宋体" w:cs="宋体"/>
          <w:color w:val="auto"/>
          <w:sz w:val="32"/>
          <w:szCs w:val="32"/>
        </w:rPr>
        <w:t>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0</w:t>
      </w:r>
      <w:r>
        <w:rPr>
          <w:rFonts w:ascii="宋体" w:hAnsi="宋体" w:eastAsia="宋体" w:cs="宋体"/>
          <w:color w:val="auto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全村41户农户家家通自来水，饮水安全得到了保障，有自然村活动室一间，球场一个。</w:t>
      </w:r>
    </w:p>
    <w:p>
      <w:pPr>
        <w:ind w:firstLine="643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（三）优势资源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规划内容</w:t>
      </w:r>
    </w:p>
    <w:p>
      <w:pPr>
        <w:ind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集聚提升自然山水型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—2022年，远期：202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—2035年。</w:t>
      </w:r>
    </w:p>
    <w:p>
      <w:pPr>
        <w:ind w:firstLine="321" w:firstLineChars="10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项目计划投资金501.64万元，其中：上级补助422.84万元，群众自筹78.8万元。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1．道路交通：概算总投资16.24万元。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（1）新建下寨道路1#一条，长250m，宽度3m，厚度15公分C25混凝土，5公分砂砾调型，道路调型碾压。面积750平方米，投资单价120元/平方米，概算投资9万元。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（2）新建下寨道路2#一条，长50m，宽度2.2m，厚度15公分C25混凝土，5公分砂砾调型，道路调型碾压。面积110平方米，投资单价120元/平方米，概算投资1.32万元。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（3）新建下寨道路3#一条，长70m，宽度2m，厚度15公分C25混凝土，5公分砂砾调型，道路调型碾压。面积140平方米，投资单价120元/平方米，概算投资1.68万元。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（4）新修下寨若干入户路，总长度为95m,宽度2m,厚度10公分C25混凝土，5公分砂砾调型，道路调型碾压。面积190平方米，投资单价85元/平方米，概算投资1.62万元 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（5）新修上寨三条入户路，为上寨1#、2#和3#道路，长度分别为100m、26m、28m，宽度为2m。厚度10公分C25混凝土，5公分砂砾调型，道路调型碾压。面积308平方米，投资单价85元/平方米，概算投资2.62万元。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2．实施饮水工程，概算总投资69.76万元。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（1）人饮水源缺水，需要更换水源地点，引水距离6公里，用50CM钢管,投资单价48元/米,投资28.8万元。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（2）上寨、下寨分别修建50立方米供水池各一个，投资单价5万元/个，概算投资10万元。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（3）下寨实施饮水工程，沿村道架设DN100主管道,长0.55km；架设DN50支管入户，长0.05km，投资14.25万元。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（4）上寨实施饮水工程，沿村道架设DN100主管道,长0.50km；架设DN50支管入户，长0.36km，投资14.61万元。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（5）规划安装7个室外消火栓，其中，下寨4个，上寨3个。单价3000元/个，估算投资2.1万元。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3．排水工程及污处理设施：概算总投资62.46万元。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（1）新建下寨区域排污管网，全长484m，设计标准管径25cm，每25米设置1个检查井，投资单价360元/m（含检查井），概算投资17.42万元。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（2）新建上寨区域排污管网，全长734m，设计标准管径25cm，每25米设置1个检查井，投资单价360元/m（含检查井），概算投资26.42万元。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（3）下寨新建1.5X1m排水沟，总长度约340m,投资单价180元/m,概算投资6.12万元；上寨改建排水沟，总长度约450m,投资单价100元/m，概算投资4.5万元。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（4）新建污水处理设施1座，为上下寨共用，投资单价为8万元/座，计划投资8万元。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4．公共空间：概算总投资31.28万元。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（1）班莫佛寺基础设施建设，花台1米宽380米长，人行道1.5米宽200米长，堡坎1.2米高160米长，计划投资10万元。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（2）下寨新建停车场，硬化面积200㎡，投资单价120元/平方米，概算投资2.4万元；需设置30m挡墙，概算投资5万元。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（3）上寨新建停车场，硬化面积400㎡，投资单价120元/平方米，概算投资4.8万元；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（4）下寨新建打歌场，面积为80平米，上寨新建打歌场，面积为260平米，投资单价120元/平方米，概算投资4.08万元；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（5）上寨新建球场1个，概算投资5万元.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5．环卫设施：概算总投资44.1万元。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（1）下寨规划建设3个垃圾房，投资单价3000元/个，估算总投资0.9万元；上寨规划新建4个垃圾池，估算投资1.2万元。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（2）下寨规划建设1个清洁公厕，改造2个清洁公厕，投资单价70000元/座，估算总投资21万元；上寨规划建设1个清洁公厕，改造2个清洁公厕，投资单价70000元/座，估算总投资21万元。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6．亮化工程：概算总投资25万元。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规划安装50盏太阳能路灯，单价5000元/盏，估算总投资25万元。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7．产业发展：概算投资180万元。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（1）林下种植、集中养殖。规划林下种植、养殖小区2个，占地面积约5000平米。概算投资180万元。</w:t>
      </w:r>
    </w:p>
    <w:p>
      <w:pPr>
        <w:ind w:firstLine="425" w:firstLineChars="133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8．绿化美化：概算投资72.8万元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（1）实施进村入户主干道绿化工程，以三角梅、樱桃树交叉间种方式实施绿化，共需种植550棵，补助1000元/棵，概算投资55万元。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（2）实施庭院绿化美化工程，每户农户庭院及周边至少种植10株本地果木，共需种植890棵，成活1棵补助200元，概算投资17.8万元。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rFonts w:ascii="宋体" w:hAnsi="宋体" w:eastAsia="宋体" w:cs="宋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班莫上寨规划工作组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组长：李光武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副组长：李兰英、王英、刘红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组员：李学华、王尼弄、刀文武、李正明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班莫下寨规划工作组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组长：王文彬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副组长：刀美兰、杨宗宝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组员：李老二、李兴平、张志明、李志荣、李光中、李军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班洪乡班莫村委会班莫上寨、班莫下寨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ascii="宋体" w:hAnsi="宋体" w:cs="宋体"/>
          <w:color w:val="auto"/>
          <w:sz w:val="44"/>
          <w:szCs w:val="44"/>
        </w:rPr>
        <w:t>村规民约</w:t>
      </w:r>
      <w:r>
        <w:rPr>
          <w:rFonts w:hint="eastAsia" w:ascii="宋体" w:hAnsi="宋体" w:cs="宋体"/>
          <w:color w:val="auto"/>
          <w:sz w:val="44"/>
          <w:szCs w:val="44"/>
        </w:rPr>
        <w:t>（试行）</w:t>
      </w:r>
    </w:p>
    <w:p>
      <w:pPr>
        <w:pStyle w:val="1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宋体" w:hAnsi="宋体" w:cs="宋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一、总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在遵循《中华人民共和国宪法》《中华人民共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村民委员会组织法》，国家其他法律、法规和省、市、县政策条例规定基础上，按照党的十九大精神构建自治、法治、德治相结合的社会治理体系要求，进一步提高全体村民自我管理、自我教育、自我约束的能力，有效促进全村经济发展、脱贫攻坚、人居环境提升等工作，特制定本村规民约。</w:t>
      </w: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二、权利和义务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全村村民在村“两委”的领导下，坚持以马克思列宁主义、毛泽东思想、邓小平理论、“三个代表”重要思想、科学发展观、习近平新时代中国特色社会主义思想为指导，自觉接受党的路线、方针、政策教育和法制教育，做一个有理想、有道德、有文化、善经营、遵纪守法的好村民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村民在遵守法律、法规和执行依法制定的村规面前一律平等；除依法享有宪法和法律赋予的权利和必须履行的义务外，还享有与承担以下权利和义务：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三、移风易俗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提倡社会主义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思想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精神文明，移风易俗，不请神弄鬼或装神弄鬼，反对封建迷信、不参加邪教组织，树立良好的民风、村风。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红白喜事倡导“五严控五提倡”，</w:t>
      </w:r>
      <w:bookmarkStart w:id="0" w:name="OLE_LINK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喜事新办，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丧事简办，破除陈规旧俗，反对铺张浪费、反对大操大办。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五严控：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1.严控办理范围。只办理婚丧嫁娶三种宴席。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严控邀请范围。严禁滥发请柬、网络邀请、信息群约等邀请行为。婚丧嫁娶外的一律不举办宴席（其它如子女升学、做寿、满月、升学、参军、捡坟、房屋落成、乔迁等喜事仅限于邀请直系亲属和三代以内旁系亲属）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3.严控宴席标准。红白喜事只设1个正餐，宴请菜的品不超过12个菜，菜品以家常菜为主，荤菜不能超过总数的一半，宴席桌数一般控制在200人（20桌）以内，禁止使用一次性筷子，禁止上野味和名贵菜谱；烟酒支出不超过每桌支出的30%；正餐每桌酒席菜品费用控制在200元以内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4.严控办理标准。红白喜事过程中不请商业演出，不举办大型结婚仪式，丧事不超过三天两夜。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5.严控随礼上限。为切实减轻农村群众人情和经济负担，参加农村婚事丧事宴请，赠送礼金或礼品价值不超过100元。防止和纠正以压岁钱的方式变相送礼，除亲属外不赠送压岁钱。</w:t>
      </w:r>
    </w:p>
    <w:p>
      <w:pPr>
        <w:pStyle w:val="10"/>
        <w:spacing w:line="540" w:lineRule="exact"/>
        <w:ind w:left="559" w:leftChars="266"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五提倡：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</w:t>
      </w:r>
      <w:bookmarkStart w:id="1" w:name="OLE_LINK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提倡“光盘行动”，打包剩菜，减少餐桌上的浪费；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提倡不参加未受邀请和不按规定邀请的宴席；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提倡文明新风，红白喜事不放或少放鞭炮，且应入桶燃放、注意防火，并及时清理各类垃圾，保护环境卫生。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提倡民族传统丧葬习俗和火葬。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提倡成立班莫村红白理事会规范办理红白喜事。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“叫魂”</w:t>
      </w:r>
      <w:bookmarkEnd w:id="1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  <w:bookmarkStart w:id="2" w:name="OLE_LINK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“</w:t>
      </w:r>
      <w:bookmarkStart w:id="3" w:name="OLE_LINK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做赕</w:t>
      </w:r>
      <w:bookmarkEnd w:id="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”不可世俗化、娱乐化，村民要减少参加不必要的“赕”事，祭祀佛塔、参拜佛祖以精神信奉为主，不能以捐献财物的多少来衡量虔诚。</w:t>
      </w:r>
      <w:bookmarkEnd w:id="2"/>
    </w:p>
    <w:p>
      <w:pPr>
        <w:pStyle w:val="1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四、辣椒产业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抓好辣椒产业发展主要做好下列几项工作：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村民要坚定不移的按照乡党委、政府和村“两委”的要求抓好自身产业发展，巩固好传统产业、发展好新兴产业，特别是辣椒产业。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要积极与乡党委、政府签订辣椒产业发展协议，认真按照生产标准抓好备地、备耕、栽种、施肥、打药、除草、管理、采摘、分类、收购等工作，不得以任何理由推诿、拒绝、拖延生产。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每户种植辣椒的农户都要加入专业合作社以及乡辣椒产业办微信群，农户采摘的辣椒由专业合作社统一代收后交辣椒公司收购，严禁私下买卖和外流</w:t>
      </w:r>
      <w:r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小商小贩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，扰乱市场秩序。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对于违反第九条的农户，将取消或暂缓享受下列政策：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国家产业发展扶持政策；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订单保护政策；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自然灾害保险政策；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乡辣椒产业发展办公室提供的生产技术服务；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五是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各类物资、市场价格、天气预报等信息服务等等；同时，按照协议违约责任，农户得向合作社赔偿苗木、肥料、农资、技术服务等投入2倍。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五、社会治理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4" w:name="OLE_LINK7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第十一条</w:t>
      </w:r>
      <w:bookmarkEnd w:id="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5" w:name="OLE_LINK8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第十二条</w:t>
      </w:r>
      <w:bookmarkEnd w:id="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任何人不能对国有林、集体林、水源林乱砍滥伐，违者处以违约金500-1000元，造成重大损失的，移交司法机关处理。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严禁在本村水域内炸鱼、毒鱼，违者没收渔具，并视情节轻重处以100-5000元违约金。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严禁向溪流、公路两旁倾倒垃圾，每户的垃圾必须放在指定的地点或垃圾池，违反者处以50-200元的违约金；对造成溪流堵塞的，要求恢复原状，并处以200-1000元的违约金。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倡导节约用水、安全用水，严禁擅自用自来水灌溉农田和蔬菜，违约处以200-500元违约金。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支持国家建设、集镇建设、农田水利建设等用地的需要，对阻碍重大建设征地的，村委会有权收回所涉及的承包田(地)用于建设，并按《中华人民共和国土地管理法》规定的补偿计算标准给予补偿。村内建设需使用承包地的，须积极给予支持。                    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6" w:name="OLE_LINK9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第十七条</w:t>
      </w:r>
      <w:bookmarkEnd w:id="6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土地承包者要严格保护耕地，不得改变土地使用功能，不得擅自挖土取方。确需用土的，须经村委会批准后，方可到指定地点采挖。违者按每立方米50-500元的违约金支付给村委会，并限期予以复耕。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7" w:name="OLE_LINK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第十八条</w:t>
      </w:r>
      <w:bookmarkEnd w:id="7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反对黑恶势力，</w:t>
      </w:r>
      <w:r>
        <w:rPr>
          <w:rFonts w:hint="eastAsia" w:ascii="仿宋_GB2312" w:eastAsia="仿宋_GB2312"/>
          <w:color w:val="auto"/>
          <w:sz w:val="32"/>
          <w:szCs w:val="32"/>
        </w:rPr>
        <w:t>严禁参与、纵容、支持黑恶势力等活动；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不参加邪教组织；严禁赌博、聚众斗殴、寻衅滋事、破坏或偷盗公私财物，有上述行为者，违反轻微的，责令悔过并进行赔偿，同时处以违约金1000元；情节严重的，交公安机关处置。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8" w:name="OLE_LINK11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第十九条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“黄赌毒”三严禁：一是</w:t>
      </w:r>
      <w:r>
        <w:rPr>
          <w:rFonts w:hint="eastAsia" w:ascii="仿宋_GB2312" w:eastAsia="仿宋_GB2312"/>
          <w:color w:val="auto"/>
          <w:sz w:val="32"/>
          <w:szCs w:val="32"/>
        </w:rPr>
        <w:t>严禁参与嫖娼及传播淫秽物品、进行淫乱、色情性异性按摩、色情性陪侍服务活动等色情淫秽活动；严禁组织、强迫、介绍、教唆、引诱、容留他人嫖娼，或者故意为嫖娼提供方便条件等；不准与异</w:t>
      </w:r>
      <w:bookmarkStart w:id="15" w:name="_GoBack"/>
      <w:bookmarkEnd w:id="15"/>
      <w:r>
        <w:rPr>
          <w:rFonts w:hint="eastAsia" w:ascii="仿宋_GB2312" w:eastAsia="仿宋_GB2312"/>
          <w:color w:val="auto"/>
          <w:sz w:val="32"/>
          <w:szCs w:val="32"/>
        </w:rPr>
        <w:t>性进行不正当交往或保持不正当关系。二是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严禁参与任何形式的赌博，不准在餐馆、农家乐、婚丧喜庆等地点进行带有财物输赢的麻将、扑克、牌九等活动。三是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禁吸食卡苦、麻黄素、海洛因、摇头丸等各类毒品，不准食用罂粟籽壳等违禁品；严禁与吸毒人员交往、涉足“毒友圈”或容留他人吸毒；严禁买卖、加工、运输、食用罂粟、大麻等违禁品。有上述行为者，违反轻微的，责令悔过并处以违约金300-1000元，情节严重的，交公安机关处置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积极参加义务护村活动，配合护村工作，及时提供有关线索。对不参加义务劳动的村民和干部，干部每天处以违约金60元，村民每天处以违约金50元。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每户村民必须管好自家的牲畜(猪、牛、羊等)，不得损坏集体和个人的财产，如有损坏，照价赔偿，并处以违约金100-300元。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敢于对长期存在横行乡里、欺压群众、强揽工程、破坏选举、非法敛财等村霸”“寨霸”作斗争，发现黑恶势力及时向党委、政府，公安机关报告，形成崇法尚德、扶正祛邪的良好风气，真正使黑恶势力无所遁形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六、人居环境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9" w:name="OLE_LINK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第二十四条</w:t>
      </w:r>
      <w:bookmarkEnd w:id="9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成立“班莫村环境卫生管理领导小组”，由村支部书记、主任任组长，监督委员会主任、村委会副主任任副组长，各党小组组长、村民小组长、林业员、几大员任成员，村环境卫生管理领导小组具体负责本村环境卫生的管理、监督以及本村规民约涉及的相关管理事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为保持村庄环境的整治，特制订村庄环境卫生保洁长效机制，建立定期分片包干打扫制度，由各村民小组对村内道路及公共区域进行划片包干到各农户，并将每七天一次的民族礼拜日（旺幸）定为环境卫生打扫日，请各农户按时认真打扫各户卫生区，由各村环境卫生管理领导小组负责督促落实。如出现不按规定打扫的农户，第一次由村环境卫生管理领导小组进行督促，如以后出现不打扫情况由村环境卫生管理领导小组处以每户每次50元的罚款，罚款用于找人员对未打扫区域进行打扫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0" w:name="OLE_LINK12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第二十六条</w:t>
      </w:r>
      <w:bookmarkEnd w:id="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农户实行各户自家“门前三包”（包卫生、包绿化、包秩序），定期不定期开展环境卫生大扫除，保证屋内摆放整洁有序及房屋周围清洁卫生。按照“八无标准”做到：无暴露垃圾、无水面漂浮物、无乱贴乱画、无散养家畜、无乱搭乱建和建筑物严重破损现象、无乱堆乱放、无污水横流，绿化空地无杂草垃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每个村民小组人户聚集区要集体修建垃圾池，实行轮流清理垃圾;单家独户的要定点堆放垃圾，做到垃圾不乱倒、粪土不乱堆、污水不乱流、柴草不乱放。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定期清理田间地头生产垃圾、农药、化肥包装袋（瓶）及废弃农用薄膜等，大力采用农业节能减排、清洁生产技术，减缓农药、化肥使用强度，有效缓解农业投入品对农田土壤、水体的污染，提升广大村民的清洁生产意识；集中力量对塑料包装袋、塑料饭盒、塑料地膜、农用包装袋等“白色污染”、卫生死角及其它各类垃圾进行清理。违者处以50-100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第二十九条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鼓励本村各农户大力建设沼气池和户用卫生厕所，尽量多使用沼气、液化气、电力、太阳能等清洁能源。对于使用烧柴的农户，要求各农户应规范堆放本户的柴堆，不允许在进村道路、村内道路两侧及村内公共空地堆放柴堆，违者由村环境卫生管理领导小组责令停止违约行为，限期整改，并对个人处以100元的罚款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民应自觉保持好房屋周边的环境卫生，做到房前屋后无污水横流，无积水，确保流水畅通。认真处理好生活污水，本着节约用水的原则，对于生活中的洗菜水、做饭产生的泔水等可再利用的水可用于家养牲畜饮用；对于洗脸洗脚水、洗衣服用水可用于浇灌本户房前屋后的绿化树木，有条件的农户也可排入本户的沼气池或从排水沟排出。不得将各类生活污水任意排放，违者由村环境卫生管理领导小组责令停止违约行为，限期整改，并对个人处以50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农户必须自觉维护本村辖区范围内水利设施的贯通，不得将各类垃圾、农药瓶和田埂草等污物倒入河流、水渠、湖泊或水塘中，一律堆放在指定地点，违者由村环境卫生管理领导小组责令停止违约行为，限期整改，并对个人处以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</w:t>
      </w:r>
      <w:bookmarkStart w:id="11" w:name="OLE_LINK6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三十二</w:t>
      </w:r>
      <w:bookmarkEnd w:id="1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村民建房必须依法使用宅基地，服从村镇建房规划和土地法律法规的相关规定，办理相关手续。村民不得在未办理建房手续的情况下违法建房，不得乱搭乱建，违者由村环境卫生管理领导小组责令停止违约行为，限期整改，如拒不整改的由村环境卫生管理领导小组组织进行强制拆除，并对个人处以1000元的罚款。 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 xml:space="preserve">七、公共(公益)事业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以村民“一事一议”筹资筹劳为基础的“村内户外”公共（公益）事业建设，主要包括农田水利设施、村组公路、村庄道路、电力设施、集体饮水工程修建、管理、维护等，以及村民认为需要的其它公共(公益)事业建设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经“一事一议”决定兴办的公共(公益)事业建设及相关筹资筹劳事宜，必须人人参加，户户参与，不参与投工者，按当地工价折资兑现。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2" w:name="OLE_LINK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第三十六条</w:t>
      </w:r>
      <w:bookmarkEnd w:id="1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村组公路、村庄道路、农田水利设施、电力设施、集体饮水工程修建、管理、维护原则上由村民小组为单位组织实施。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八、邻里关系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3" w:name="OLE_LINK14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第三十七条</w:t>
      </w:r>
      <w:bookmarkEnd w:id="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村民之间要互尊、互爱、互助，和睦相处，建立良好的邻里关系。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第三十八条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在生产、生活、社会交往过程中，应遵循平等、自愿、互惠互利的原则，发扬社会主义新风尚。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邻里纠纷，应本着团结友爱的原则平等协商解决，协商不成的可申请村调解委调解，也可通过依法向人民法院起诉，树立依法维权意识，不得以牙还牙，以暴制暴。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九、家风家教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4" w:name="OLE_LINK15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第四十条</w:t>
      </w:r>
      <w:bookmarkEnd w:id="1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父母、继父母、养父母对未成年的子女、继子女和养子女必须依法履行抚养义务。成年子女、继子女、养子女及其配偶，对基本丧失劳动能力或无生活来源的父母、继父母、养父母必须依法履行赡养义务。发生赡养纠纷时，由村调解委员会进行调解，调解不成的，村民委员会支持被赡养人依法向人民法院提起诉讼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第四十一条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要注重家庭、家风、家教，立家规传家训树家风，关注孩子的心理和身体健康，给予孩子良好的家庭教育环境。要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本村内所有应就学的适龄儿童，最低全部接受“九年义务教育”。对有辍学学生的家庭对其进行批评教育并劝学，劝说不听者取消其所有的惠农政策。对于考取二本以上的大学生家庭和学生本人给予相应的奖励，加大惠农政策方面的扶持力度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附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本村规民约由村民代表会议讨论通过，具有约束力。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第四十三条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本村规民约发至各家各户，做到家喻户晓。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本村规民约由村民委员会负责解释，并负责组织在本村范围内实施，村民小组长负责组织在本村民小组内实施，党员同志负责宣传到结对农户并督促其贯彻执行。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结合村规民约执行，村委会将每年进行一次评比表彰，相应评选出村规民约遵守得好的村民小组和村级热心事业建设标兵、勤劳致富标兵、道德模范标兵、尊老爱幼标兵、环境卫生标兵、邻里和谐标兵等先进个人和示范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违反本村规民约，除触犯法律由有关部门依法处理的，村民委员会可作出如下处理: 一是予以批评教育;二是写出悔过书，用村广播进行通报; 三是责令其恢复原状或作价赔偿; 四是视情况给予经济处罚; 五是取消享受或者暂缓享受村组及国家的优惠待遇; 六是本年度不评先进、文明户、五好家庭户、遵纪守法户。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凡违反本村规民约要进行处理的，必须在调查核实后，经村民委员会(或村民代表会议)集体讨论、决定，不得擅自处理。外来人员在本村居住的参照执行本村规民约。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本村规民约有与国家法律、法规、政策相抵触的，按国家规定执行。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本村规民约根据农村社会经济发展情况，适时进行修订，按照“四议两公开”程序，由村民代表会议通过之日起施行。 </w:t>
      </w:r>
    </w:p>
    <w:p>
      <w:pPr>
        <w:overflowPunct w:val="0"/>
        <w:spacing w:line="700" w:lineRule="exact"/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A89AB2"/>
    <w:multiLevelType w:val="singleLevel"/>
    <w:tmpl w:val="5AA89AB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TE3ZmM4MzM4NjVlNWZhYmNhMjIxYjdiZmY2NTkifQ=="/>
  </w:docVars>
  <w:rsids>
    <w:rsidRoot w:val="00A221CC"/>
    <w:rsid w:val="000162EB"/>
    <w:rsid w:val="00081D90"/>
    <w:rsid w:val="00176040"/>
    <w:rsid w:val="002A6C58"/>
    <w:rsid w:val="002C11CC"/>
    <w:rsid w:val="00347132"/>
    <w:rsid w:val="00365AA6"/>
    <w:rsid w:val="003D3E0C"/>
    <w:rsid w:val="00416B21"/>
    <w:rsid w:val="0049213F"/>
    <w:rsid w:val="004B56B9"/>
    <w:rsid w:val="005A6926"/>
    <w:rsid w:val="005C1CFD"/>
    <w:rsid w:val="005E0BEA"/>
    <w:rsid w:val="005E36FF"/>
    <w:rsid w:val="005F73A0"/>
    <w:rsid w:val="006034EF"/>
    <w:rsid w:val="006062E2"/>
    <w:rsid w:val="006432EF"/>
    <w:rsid w:val="006F31A0"/>
    <w:rsid w:val="007274ED"/>
    <w:rsid w:val="007911E8"/>
    <w:rsid w:val="007A3272"/>
    <w:rsid w:val="00850C93"/>
    <w:rsid w:val="009D7B68"/>
    <w:rsid w:val="00A016AB"/>
    <w:rsid w:val="00A221CC"/>
    <w:rsid w:val="00A23ED0"/>
    <w:rsid w:val="00A31FC6"/>
    <w:rsid w:val="00A37CE7"/>
    <w:rsid w:val="00A5507E"/>
    <w:rsid w:val="00A57256"/>
    <w:rsid w:val="00A57806"/>
    <w:rsid w:val="00AC6639"/>
    <w:rsid w:val="00B92C49"/>
    <w:rsid w:val="00BC0507"/>
    <w:rsid w:val="00C55290"/>
    <w:rsid w:val="00CA7B08"/>
    <w:rsid w:val="00CE7D58"/>
    <w:rsid w:val="00D070C3"/>
    <w:rsid w:val="00D223B2"/>
    <w:rsid w:val="00D949EC"/>
    <w:rsid w:val="00DA5D8A"/>
    <w:rsid w:val="00DE2850"/>
    <w:rsid w:val="00DE5607"/>
    <w:rsid w:val="00DF06D2"/>
    <w:rsid w:val="00E92BEA"/>
    <w:rsid w:val="00E97EB6"/>
    <w:rsid w:val="00EF640A"/>
    <w:rsid w:val="00F54F18"/>
    <w:rsid w:val="00F806F9"/>
    <w:rsid w:val="01626374"/>
    <w:rsid w:val="027E259F"/>
    <w:rsid w:val="1393060F"/>
    <w:rsid w:val="1417405E"/>
    <w:rsid w:val="142A5EAD"/>
    <w:rsid w:val="181D245A"/>
    <w:rsid w:val="1ACA2B71"/>
    <w:rsid w:val="23B6121F"/>
    <w:rsid w:val="263152FD"/>
    <w:rsid w:val="2F805A94"/>
    <w:rsid w:val="3284589B"/>
    <w:rsid w:val="36203B2D"/>
    <w:rsid w:val="36F076B0"/>
    <w:rsid w:val="38BC13D1"/>
    <w:rsid w:val="4C8A7AFA"/>
    <w:rsid w:val="4D993218"/>
    <w:rsid w:val="51905D19"/>
    <w:rsid w:val="55110DB9"/>
    <w:rsid w:val="57041DA9"/>
    <w:rsid w:val="5AFE1AC6"/>
    <w:rsid w:val="5AFE5D08"/>
    <w:rsid w:val="5B6F6F47"/>
    <w:rsid w:val="5E2777B5"/>
    <w:rsid w:val="5F0A527B"/>
    <w:rsid w:val="5F98377A"/>
    <w:rsid w:val="61D65208"/>
    <w:rsid w:val="67C0357E"/>
    <w:rsid w:val="67E07192"/>
    <w:rsid w:val="69A67B08"/>
    <w:rsid w:val="6C9B29CA"/>
    <w:rsid w:val="6D6370DF"/>
    <w:rsid w:val="73B86D56"/>
    <w:rsid w:val="754E5213"/>
    <w:rsid w:val="76DA5057"/>
    <w:rsid w:val="7A133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9">
    <w:name w:val="title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0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1504</Words>
  <Characters>8578</Characters>
  <Lines>71</Lines>
  <Paragraphs>20</Paragraphs>
  <TotalTime>2</TotalTime>
  <ScaleCrop>false</ScaleCrop>
  <LinksUpToDate>false</LinksUpToDate>
  <CharactersWithSpaces>10062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袁凤梅</cp:lastModifiedBy>
  <dcterms:modified xsi:type="dcterms:W3CDTF">2024-03-19T01:52:27Z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F420E8BEC6C845309CC099B404FAE3C1_13</vt:lpwstr>
  </property>
</Properties>
</file>