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统计局行政执法主体及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沧源佤族自治县</w:t>
      </w:r>
      <w:r>
        <w:rPr>
          <w:rFonts w:hint="eastAsia" w:ascii="黑体" w:hAnsi="黑体" w:eastAsia="黑体" w:cs="黑体"/>
          <w:sz w:val="32"/>
          <w:szCs w:val="32"/>
        </w:rPr>
        <w:t>统计局行政执法主体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国家部委执法证人员：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王建明、李新翠、李继侯、赵春兰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云南省行政执法证人员：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肖永花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肖立全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孔然、刀桂芬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1928"/>
    <w:rsid w:val="1EB531E9"/>
    <w:rsid w:val="37D919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2020-12-08T03:02:00Z</dcterms:created>
  <dc:creator>Administrator</dc:creator>
  <cp:lastModifiedBy>Administrator</cp:lastModifiedBy>
  <dcterms:modified xsi:type="dcterms:W3CDTF">2020-12-08T03:31:01Z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