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</w:pP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芒卡镇芒岗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行政村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eastAsia="zh-CN" w:bidi="ar"/>
        </w:rPr>
        <w:t>下汪塘自然村</w:t>
      </w:r>
      <w:r>
        <w:rPr>
          <w:rFonts w:hint="eastAsia" w:ascii="方正小标宋简体" w:eastAsia="方正小标宋简体" w:cs="方正小标宋简体"/>
          <w:b/>
          <w:bCs/>
          <w:sz w:val="40"/>
          <w:szCs w:val="40"/>
          <w:lang w:bidi="ar"/>
        </w:rPr>
        <w:t>村庄规划说明书</w:t>
      </w:r>
    </w:p>
    <w:p>
      <w:pPr>
        <w:spacing w:line="700" w:lineRule="exact"/>
        <w:jc w:val="both"/>
        <w:rPr>
          <w:rFonts w:hint="eastAsia" w:ascii="方正小标宋简体" w:eastAsia="方正小标宋简体" w:cs="方正小标宋简体"/>
          <w:sz w:val="40"/>
          <w:szCs w:val="40"/>
          <w:lang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9"/>
        <w:rPr>
          <w:rFonts w:hint="eastAsia" w:eastAsia="黑体" w:cs="黑体"/>
          <w:b/>
          <w:lang w:bidi="ar"/>
        </w:rPr>
      </w:pPr>
      <w:r>
        <w:rPr>
          <w:rFonts w:hint="eastAsia" w:eastAsia="黑体" w:cs="黑体"/>
          <w:b/>
          <w:lang w:val="en-US" w:eastAsia="zh-CN" w:bidi="ar"/>
        </w:rPr>
        <w:t>一、</w:t>
      </w:r>
      <w:r>
        <w:rPr>
          <w:rFonts w:hint="eastAsia" w:eastAsia="黑体" w:cs="黑体"/>
          <w:b/>
          <w:lang w:bidi="ar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</w:rPr>
      </w:pPr>
      <w:r>
        <w:rPr>
          <w:rFonts w:hint="default" w:ascii="Times New Roman" w:hAnsi="Times New Roman" w:eastAsia="楷体_GB2312" w:cs="Times New Roman"/>
          <w:b/>
          <w:lang w:bidi="ar"/>
        </w:rPr>
        <w:t>（一）政策背景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bidi="ar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了</w:t>
      </w:r>
      <w:r>
        <w:rPr>
          <w:rFonts w:hint="default" w:ascii="Times New Roman" w:hAnsi="Times New Roman" w:cs="Times New Roman"/>
          <w:sz w:val="32"/>
          <w:szCs w:val="32"/>
          <w:lang w:eastAsia="zh-CN" w:bidi="ar"/>
        </w:rPr>
        <w:t>芒卡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镇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 w:bidi="ar"/>
        </w:rPr>
        <w:t>芒岗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</w:rPr>
        <w:t>行政村</w:t>
      </w:r>
      <w:r>
        <w:rPr>
          <w:rFonts w:hint="eastAsia" w:cs="Times New Roman"/>
          <w:b w:val="0"/>
          <w:bCs w:val="0"/>
          <w:sz w:val="32"/>
          <w:szCs w:val="32"/>
          <w:lang w:eastAsia="zh-CN" w:bidi="ar"/>
        </w:rPr>
        <w:t>下汪塘自然村</w:t>
      </w:r>
      <w:r>
        <w:rPr>
          <w:rFonts w:hint="default" w:ascii="Times New Roman" w:hAnsi="Times New Roman" w:cs="Times New Roman"/>
          <w:sz w:val="32"/>
          <w:szCs w:val="32"/>
        </w:rPr>
        <w:t>村庄规划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。该自然村规划经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 w:bidi="ar"/>
        </w:rPr>
        <w:t>22</w:t>
      </w:r>
      <w:r>
        <w:rPr>
          <w:rFonts w:hint="default" w:ascii="Times New Roman" w:hAnsi="Times New Roman" w:cs="Times New Roman"/>
          <w:sz w:val="32"/>
          <w:szCs w:val="32"/>
          <w:lang w:bidi="ar"/>
        </w:rPr>
        <w:t>日自然村村民代表会议审议表决通过。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（二）村情概况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bidi="ar"/>
        </w:rPr>
        <w:t>1．地理区位：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芒岗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行政村</w:t>
      </w:r>
      <w:r>
        <w:rPr>
          <w:rFonts w:hint="eastAsia" w:cs="Times New Roman"/>
          <w:color w:val="auto"/>
          <w:sz w:val="32"/>
          <w:szCs w:val="32"/>
          <w:lang w:eastAsia="zh-CN"/>
        </w:rPr>
        <w:t>下汪塘自然村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位于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芒卡镇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东</w:t>
      </w:r>
      <w:r>
        <w:rPr>
          <w:rFonts w:hint="default" w:ascii="Times New Roman" w:hAnsi="Times New Roman" w:eastAsia="仿宋_GB2312" w:cs="Times New Roman"/>
          <w:color w:val="auto"/>
          <w:spacing w:val="-16"/>
          <w:sz w:val="32"/>
          <w:szCs w:val="32"/>
          <w:lang w:bidi="ar"/>
        </w:rPr>
        <w:t>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距镇政府驻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和村委会驻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ar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海拔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米，森林覆盖率达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，年均降水量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1400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毫米，昼夜温差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森林、土地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"/>
        </w:rPr>
        <w:t>充足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color w:val="auto"/>
          <w:lang w:bidi="ar"/>
        </w:rPr>
        <w:t>2．人口现状：</w:t>
      </w:r>
      <w:r>
        <w:rPr>
          <w:rFonts w:hint="default" w:ascii="Times New Roman" w:hAnsi="Times New Roman" w:eastAsia="仿宋" w:cs="Times New Roman"/>
          <w:sz w:val="32"/>
          <w:szCs w:val="32"/>
        </w:rPr>
        <w:t>自然村共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eastAsia="仿宋" w:cs="Times New Roman"/>
          <w:sz w:val="32"/>
          <w:szCs w:val="32"/>
        </w:rPr>
        <w:t>户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eastAsia="仿宋" w:cs="Times New Roman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bidi="ar"/>
        </w:rPr>
        <w:t xml:space="preserve">3．资源现状： </w:t>
      </w:r>
      <w:r>
        <w:rPr>
          <w:rFonts w:hint="default" w:ascii="Times New Roman" w:hAnsi="Times New Roman" w:eastAsia="仿宋" w:cs="Times New Roman"/>
          <w:sz w:val="32"/>
          <w:szCs w:val="32"/>
        </w:rPr>
        <w:t>：自然村依山腰而居，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有常规耕地面积约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亩，林地面积约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亩，村庄占地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余亩。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lang w:bidi="ar"/>
        </w:rPr>
        <w:t>4．产业现状：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种植业以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水稻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、玉米为主，有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甘蔗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面积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茶叶面积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亩；养殖业以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牛、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养猪，养鸡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为主；副业以外出务工为主。201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年农民人均可支配收入为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cs="Times New Roman"/>
          <w:color w:val="auto"/>
          <w:sz w:val="32"/>
          <w:szCs w:val="32"/>
          <w:lang w:bidi="ar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  <w:lang w:bidi="ar"/>
        </w:rPr>
        <w:t>5．基础设施</w:t>
      </w:r>
      <w:r>
        <w:rPr>
          <w:rFonts w:hint="default" w:ascii="Times New Roman" w:hAnsi="Times New Roman" w:cs="Times New Roman"/>
          <w:b/>
          <w:color w:val="auto"/>
          <w:lang w:val="en-US" w:eastAsia="zh-CN" w:bidi="ar"/>
        </w:rPr>
        <w:t>现状</w:t>
      </w:r>
      <w:r>
        <w:rPr>
          <w:rFonts w:hint="default" w:ascii="Times New Roman" w:hAnsi="Times New Roman" w:cs="Times New Roman"/>
          <w:b/>
          <w:color w:val="auto"/>
          <w:lang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（1）道路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村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已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通村内户外硬板路0.</w:t>
      </w:r>
      <w:r>
        <w:rPr>
          <w:rFonts w:hint="eastAsia" w:cs="Times New Roman"/>
          <w:color w:val="auto"/>
          <w:sz w:val="32"/>
          <w:szCs w:val="32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公里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电力设施：该村已通10千伏以上的动力电。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 w:bidi="ar"/>
        </w:rPr>
        <w:t>（3）电讯及广播电视：该村已实现移动网络全覆盖，户户均有1部手机，户户均拥有电视机。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4</w:t>
      </w:r>
      <w:r>
        <w:rPr>
          <w:rFonts w:hint="default" w:ascii="Times New Roman" w:hAnsi="Times New Roman" w:cs="Times New Roman"/>
          <w:color w:val="auto"/>
          <w:lang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给水设施</w:t>
      </w:r>
      <w:r>
        <w:rPr>
          <w:rFonts w:hint="default" w:ascii="Times New Roman" w:hAnsi="Times New Roman" w:cs="Times New Roman"/>
          <w:color w:val="auto"/>
          <w:lang w:bidi="ar"/>
        </w:rPr>
        <w:t>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</w:t>
      </w:r>
      <w:r>
        <w:rPr>
          <w:rFonts w:hint="default" w:ascii="Times New Roman" w:hAnsi="Times New Roman" w:cs="Times New Roman"/>
          <w:color w:val="auto"/>
          <w:lang w:eastAsia="zh-CN" w:bidi="ar"/>
        </w:rPr>
        <w:t>村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已通到户自来安全饮用水。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（5）排水设施：该村无排水设施，农户生活污水及雨水均呈无序排放状态。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eastAsia="zh-CN" w:bidi="ar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（6）环卫设施：该村环卫设施非常简陋，全村只有1个垃圾池，垃圾处理方式为集中焚烧和填埋。建有1幢6蹲位的公共厕所。</w:t>
      </w:r>
      <w:r>
        <w:rPr>
          <w:rFonts w:hint="default" w:ascii="Times New Roman" w:hAnsi="Times New Roman" w:cs="Times New Roman"/>
          <w:color w:val="auto"/>
          <w:lang w:eastAsia="zh-CN" w:bidi="ar"/>
        </w:rPr>
        <w:t>　　　　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9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7</w:t>
      </w:r>
      <w:r>
        <w:rPr>
          <w:rFonts w:hint="default" w:ascii="Times New Roman" w:hAnsi="Times New Roman" w:cs="Times New Roman"/>
          <w:color w:val="auto"/>
          <w:lang w:bidi="ar"/>
        </w:rPr>
        <w:t>）住房：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</w:t>
      </w:r>
      <w:r>
        <w:rPr>
          <w:rFonts w:hint="eastAsia" w:cs="Times New Roman"/>
          <w:color w:val="auto"/>
          <w:lang w:val="en-US" w:eastAsia="zh-CN" w:bidi="ar"/>
        </w:rPr>
        <w:t>13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户全为砖木结构安全稳固住房。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（三）优势资源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 xml:space="preserve"> 森林覆盖率高，气候为亚热带季风气候，昼夜温差小，水资源充沛。人均常规耕地面积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亩、林地面积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default" w:ascii="Times New Roman" w:hAnsi="Times New Roman" w:cs="Times New Roman"/>
          <w:b w:val="0"/>
          <w:bCs w:val="0"/>
          <w:color w:val="auto"/>
          <w:lang w:val="en-US" w:eastAsia="zh-CN" w:bidi="ar"/>
        </w:rPr>
        <w:t>亩，发展生态产业基础好，有较大的产业发展空间。村庄内部、周围以及农户周围空间狭窄，民风淳朴，群众内生动力足，布局相应公共服务设施难度大。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color w:val="auto"/>
        </w:rPr>
      </w:pPr>
      <w:r>
        <w:rPr>
          <w:rFonts w:hint="default" w:ascii="Times New Roman" w:hAnsi="Times New Roman" w:eastAsia="黑体" w:cs="Times New Roman"/>
          <w:b/>
          <w:color w:val="auto"/>
          <w:lang w:bidi="ar"/>
        </w:rPr>
        <w:t>二、规划内容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（一）规划思路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/>
        </w:rPr>
      </w:pPr>
      <w:r>
        <w:rPr>
          <w:rFonts w:hint="default" w:ascii="Times New Roman" w:hAnsi="Times New Roman" w:cs="Times New Roman"/>
          <w:color w:val="auto"/>
          <w:lang w:val="en-US" w:eastAsia="zh-CN" w:bidi="ar"/>
        </w:rPr>
        <w:t>该自然村地处与中心城镇较为偏远，生态条件优越，产业发展空间大。农户沿山腰而居，依山就势，错落有致，呈带状布局。结合区位条件和资源条件，自然村村庄规划定位为：</w:t>
      </w:r>
      <w:r>
        <w:rPr>
          <w:rFonts w:hint="default" w:ascii="Times New Roman" w:hAnsi="Times New Roman" w:cs="Times New Roman"/>
          <w:b w:val="0"/>
          <w:bCs w:val="0"/>
          <w:color w:val="auto"/>
          <w:u w:val="none"/>
          <w:lang w:val="en-US" w:eastAsia="zh-CN" w:bidi="ar"/>
        </w:rPr>
        <w:t>提升改造行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（二）规划期限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lang w:bidi="ar"/>
        </w:rPr>
        <w:t>近期：</w:t>
      </w:r>
      <w:r>
        <w:rPr>
          <w:rFonts w:hint="default" w:ascii="Times New Roman" w:hAnsi="Times New Roman" w:cs="Times New Roman"/>
          <w:color w:val="auto"/>
          <w:highlight w:val="none"/>
          <w:lang w:bidi="ar"/>
        </w:rPr>
        <w:t>2018—2022</w:t>
      </w:r>
      <w:r>
        <w:rPr>
          <w:rFonts w:hint="default" w:ascii="Times New Roman" w:hAnsi="Times New Roman" w:cs="Times New Roman"/>
          <w:color w:val="auto"/>
          <w:lang w:bidi="ar"/>
        </w:rPr>
        <w:t>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bidi="ar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color w:val="auto"/>
          <w:lang w:val="en-US" w:eastAsia="zh-CN" w:bidi="ar"/>
        </w:rPr>
        <w:t xml:space="preserve">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项目概算投资</w:t>
      </w:r>
      <w:r>
        <w:rPr>
          <w:rFonts w:hint="eastAsia" w:eastAsia="仿宋" w:cs="Times New Roman"/>
          <w:sz w:val="32"/>
          <w:szCs w:val="32"/>
          <w:lang w:val="en-US" w:eastAsia="zh-CN"/>
        </w:rPr>
        <w:t>10185.77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万元，其中：上级补助</w:t>
      </w:r>
      <w:r>
        <w:rPr>
          <w:rFonts w:hint="eastAsia" w:eastAsia="仿宋" w:cs="Times New Roman"/>
          <w:sz w:val="32"/>
          <w:szCs w:val="32"/>
          <w:lang w:val="en-US" w:eastAsia="zh-CN"/>
        </w:rPr>
        <w:t>1013.77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万元，群众自筹</w:t>
      </w:r>
      <w:r>
        <w:rPr>
          <w:rFonts w:hint="eastAsia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1．道路交通</w:t>
      </w:r>
      <w:r>
        <w:rPr>
          <w:rFonts w:hint="default" w:ascii="Times New Roman" w:hAnsi="Times New Roman" w:cs="Times New Roman"/>
          <w:b/>
          <w:bCs w:val="0"/>
          <w:color w:val="auto"/>
          <w:lang w:eastAsia="zh-CN" w:bidi="ar"/>
        </w:rPr>
        <w:t>：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30万元。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eastAsia="仿宋_GB2312" w:cs="Times New Roman"/>
          <w:b w:val="0"/>
          <w:bCs/>
          <w:color w:val="auto"/>
          <w:sz w:val="32"/>
          <w:szCs w:val="32"/>
          <w:lang w:eastAsia="zh-CN"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（1）入村主干道：新建1条入村硬化主干道1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条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，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从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莱片村龙咾安置点至马得路至下汪塘自然村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全长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8000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米，设计宽度4m，厚度20cm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720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（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2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机耕路</w:t>
      </w:r>
      <w:r>
        <w:rPr>
          <w:rFonts w:hint="eastAsia" w:cs="Times New Roman"/>
          <w:b w:val="0"/>
          <w:bCs/>
          <w:color w:val="auto"/>
          <w:sz w:val="32"/>
          <w:szCs w:val="32"/>
          <w:lang w:eastAsia="zh-CN" w:bidi="ar"/>
        </w:rPr>
        <w:t>：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新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建1条自然村至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公班杜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机耕路，全长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公里，设计宽度4m，概算投资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</w:pP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．排水工程：概算投资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36.2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一是自然村规划建设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条沟渠。总计长0.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km。每条排水沟底部分别设计生态处理池，实施污水生态处理，水沟采用盖板方式实施。二是新建人工湿地1座，占地面积150平方米。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村内排水沟（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10.8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1号沟渠-捌京东户至杨老二户，全长400m，设计标准30cm×40cm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7.2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2号沟渠-何老三户至杨老二户，全长100m，设计标准30cm×40cm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1.8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3号沟渠-何光庆户至养殖小区，全长100m，设计标准30cm×40cm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全长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00m，设计标准30cm×40cm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1.8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）新建人工湿地1座，占地面积150平方米，概算投资20万元（含土地补偿费）。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b/>
          <w:bCs w:val="0"/>
          <w:color w:val="auto"/>
          <w:lang w:val="en-US" w:eastAsia="zh-CN" w:bidi="ar"/>
        </w:rPr>
        <w:t>．</w:t>
      </w:r>
      <w:r>
        <w:rPr>
          <w:rFonts w:hint="eastAsia" w:ascii="Times New Roman" w:hAnsi="Times New Roman" w:cs="Times New Roman"/>
          <w:b/>
          <w:bCs w:val="0"/>
          <w:color w:val="auto"/>
          <w:lang w:val="en-US" w:eastAsia="zh-CN" w:bidi="ar"/>
        </w:rPr>
        <w:t>公共空间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概算投资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24.6万元。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（1）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停车场：新建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停车场500㎡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6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（2）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打歌场：新建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打歌场300㎡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3.6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（3）寨门</w:t>
      </w:r>
      <w:r>
        <w:rPr>
          <w:rFonts w:hint="eastAsia" w:eastAsia="仿宋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b w:val="0"/>
          <w:bCs/>
          <w:sz w:val="32"/>
          <w:szCs w:val="32"/>
          <w:lang w:val="en-US" w:eastAsia="zh-CN"/>
        </w:rPr>
        <w:t>新建佤族特色寨门1座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．环卫设施：概算总投资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8.48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公厕：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新建水冲式公厕1幢6个蹲位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ab/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概算投资6万元。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（2）垃圾池：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新建垃圾池1口20立方米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89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（3）塑料垃圾桶：购置塑料垃圾桶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13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个</w:t>
      </w:r>
      <w:r>
        <w:rPr>
          <w:rFonts w:hint="default" w:ascii="Times New Roman" w:hAnsi="Times New Roman" w:cs="Times New Roman"/>
          <w:b w:val="0"/>
          <w:bCs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概算投资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0.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39</w:t>
      </w:r>
      <w:r>
        <w:rPr>
          <w:rFonts w:hint="default" w:ascii="Times New Roman" w:hAnsi="Times New Roman" w:cs="Times New Roman"/>
          <w:b w:val="0"/>
          <w:bCs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</w:rPr>
      </w:pPr>
      <w:r>
        <w:rPr>
          <w:rFonts w:hint="default" w:ascii="Times New Roman" w:hAnsi="Times New Roman" w:cs="Times New Roman"/>
          <w:b/>
          <w:bCs w:val="0"/>
          <w:color w:val="auto"/>
          <w:lang w:eastAsia="zh-CN" w:bidi="ar"/>
        </w:rPr>
        <w:t>５</w:t>
      </w: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．亮化工程：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购置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安装</w:t>
      </w:r>
      <w:r>
        <w:rPr>
          <w:rFonts w:hint="eastAsia" w:cs="Times New Roman"/>
          <w:b w:val="0"/>
          <w:bCs/>
          <w:color w:val="auto"/>
          <w:sz w:val="32"/>
          <w:szCs w:val="32"/>
          <w:lang w:val="en-US" w:eastAsia="zh-CN" w:bidi="ar"/>
        </w:rPr>
        <w:t>30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盏太阳能路灯，概算总投资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val="en-US" w:eastAsia="zh-CN" w:bidi="ar"/>
        </w:rPr>
        <w:t>15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lang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  <w:lang w:val="en-US" w:eastAsia="zh-CN" w:bidi="ar"/>
        </w:rPr>
        <w:t>民居建设：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户民居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房屋外包装，</w:t>
      </w:r>
      <w:r>
        <w:rPr>
          <w:rFonts w:hint="eastAsia" w:ascii="仿宋" w:hAnsi="仿宋" w:eastAsia="仿宋" w:cs="仿宋"/>
          <w:sz w:val="32"/>
          <w:szCs w:val="32"/>
        </w:rPr>
        <w:t>，突出佤族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特色和文化元素，</w:t>
      </w:r>
      <w:r>
        <w:rPr>
          <w:rFonts w:hint="eastAsia" w:ascii="仿宋" w:hAnsi="仿宋" w:eastAsia="仿宋" w:cs="仿宋"/>
          <w:sz w:val="32"/>
          <w:szCs w:val="32"/>
        </w:rPr>
        <w:t>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风格</w:t>
      </w:r>
      <w:r>
        <w:rPr>
          <w:rFonts w:hint="eastAsia" w:ascii="仿宋" w:hAnsi="仿宋" w:eastAsia="仿宋" w:cs="仿宋"/>
          <w:sz w:val="32"/>
          <w:szCs w:val="32"/>
        </w:rPr>
        <w:t>为红瓦黄墙。概算总投资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spacing w:line="540" w:lineRule="exact"/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．电力电信：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（1）有线网络：主线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千米，入户线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千米。</w:t>
      </w:r>
    </w:p>
    <w:p>
      <w:pPr>
        <w:spacing w:line="54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（2）有线电视：主线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千米，入户线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千米。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 w:val="0"/>
          <w:color w:val="auto"/>
          <w:lang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cs="Times New Roman"/>
          <w:b/>
          <w:bCs w:val="0"/>
          <w:color w:val="auto"/>
          <w:lang w:bidi="ar"/>
        </w:rPr>
        <w:t>产业发展：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概算总投资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139.98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1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养殖小区：</w:t>
      </w:r>
      <w:r>
        <w:rPr>
          <w:rFonts w:hint="default" w:ascii="Times New Roman" w:hAnsi="Times New Roman" w:cs="Times New Roman"/>
          <w:color w:val="auto"/>
          <w:lang w:bidi="ar"/>
        </w:rPr>
        <w:t>新建养殖小区</w:t>
      </w:r>
      <w:r>
        <w:rPr>
          <w:rFonts w:hint="eastAsia" w:cs="Times New Roman"/>
          <w:color w:val="auto"/>
          <w:lang w:val="en-US" w:eastAsia="zh-CN" w:bidi="ar"/>
        </w:rPr>
        <w:t>260</w:t>
      </w:r>
      <w:r>
        <w:rPr>
          <w:rFonts w:hint="default" w:ascii="Times New Roman" w:hAnsi="Times New Roman" w:cs="Times New Roman"/>
          <w:color w:val="auto"/>
          <w:lang w:bidi="ar"/>
        </w:rPr>
        <w:t>平方米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,概算投资</w:t>
      </w:r>
      <w:r>
        <w:rPr>
          <w:rFonts w:hint="eastAsia" w:cs="Times New Roman"/>
          <w:color w:val="auto"/>
          <w:lang w:val="en-US" w:eastAsia="zh-CN" w:bidi="ar"/>
        </w:rPr>
        <w:t>18.98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2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生态土猪养殖：</w:t>
      </w:r>
      <w:r>
        <w:rPr>
          <w:rFonts w:hint="default" w:ascii="Times New Roman" w:hAnsi="Times New Roman" w:cs="Times New Roman"/>
          <w:color w:val="auto"/>
          <w:lang w:bidi="ar"/>
        </w:rPr>
        <w:t>发展生态土猪养殖2000头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概算投资金100万元。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lang w:val="en-US" w:eastAsia="zh-CN" w:bidi="ar"/>
        </w:rPr>
      </w:pPr>
      <w:r>
        <w:rPr>
          <w:rFonts w:hint="default" w:ascii="Times New Roman" w:hAnsi="Times New Roman" w:cs="Times New Roman"/>
          <w:color w:val="auto"/>
          <w:lang w:eastAsia="zh-CN" w:bidi="ar"/>
        </w:rPr>
        <w:t>（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3</w:t>
      </w:r>
      <w:r>
        <w:rPr>
          <w:rFonts w:hint="default" w:ascii="Times New Roman" w:hAnsi="Times New Roman" w:cs="Times New Roman"/>
          <w:color w:val="auto"/>
          <w:lang w:eastAsia="zh-CN" w:bidi="ar"/>
        </w:rPr>
        <w:t>）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森林蔬菜：</w:t>
      </w:r>
      <w:r>
        <w:rPr>
          <w:rFonts w:hint="default" w:ascii="Times New Roman" w:hAnsi="Times New Roman" w:cs="Times New Roman"/>
          <w:color w:val="auto"/>
          <w:lang w:bidi="ar"/>
        </w:rPr>
        <w:t>发展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鸡爪菜、火镰菜等</w:t>
      </w:r>
      <w:r>
        <w:rPr>
          <w:rFonts w:hint="default" w:ascii="Times New Roman" w:hAnsi="Times New Roman" w:cs="Times New Roman"/>
          <w:color w:val="auto"/>
          <w:lang w:bidi="ar"/>
        </w:rPr>
        <w:t>森林蔬菜种植200亩</w:t>
      </w:r>
      <w:r>
        <w:rPr>
          <w:rFonts w:hint="default" w:ascii="Times New Roman" w:hAnsi="Times New Roman" w:cs="Times New Roman"/>
          <w:color w:val="auto"/>
          <w:lang w:eastAsia="zh-CN" w:bidi="ar"/>
        </w:rPr>
        <w:t>，</w:t>
      </w:r>
      <w:r>
        <w:rPr>
          <w:rFonts w:hint="default" w:ascii="Times New Roman" w:hAnsi="Times New Roman" w:cs="Times New Roman"/>
          <w:color w:val="auto"/>
          <w:lang w:val="en-US" w:eastAsia="zh-CN" w:bidi="ar"/>
        </w:rPr>
        <w:t>概算投资20万元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．绿化美化：概算投资30万元。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（1）实施村庄绿化工程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00㎡，在主干道、活动室、活动场地周边种植花草树木，概算投资</w:t>
      </w:r>
      <w:r>
        <w:rPr>
          <w:rFonts w:hint="eastAsia" w:cs="Times New Roman"/>
          <w:b w:val="0"/>
          <w:bCs/>
          <w:color w:val="auto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（2）实施庭院绿化美化工程，农户庭院及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color w:val="auto"/>
          <w:lang w:eastAsia="zh-CN" w:bidi="ar"/>
        </w:rPr>
        <w:t>周边至少栽植5盆花卉或绿色植物。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</w:rPr>
      </w:pPr>
      <w:r>
        <w:rPr>
          <w:rFonts w:hint="eastAsia" w:ascii="Times New Roman" w:hAnsi="Times New Roman" w:cs="Times New Roman"/>
          <w:b w:val="0"/>
          <w:bCs/>
          <w:color w:val="auto"/>
          <w:lang w:val="en-US" w:eastAsia="zh-CN" w:bidi="ar"/>
        </w:rPr>
        <w:t>10</w:t>
      </w:r>
      <w:r>
        <w:rPr>
          <w:rFonts w:hint="default" w:ascii="Times New Roman" w:hAnsi="Times New Roman" w:cs="Times New Roman"/>
          <w:b w:val="0"/>
          <w:bCs/>
          <w:color w:val="auto"/>
          <w:lang w:bidi="ar"/>
        </w:rPr>
        <w:t>．用地规划：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lang w:bidi="ar"/>
        </w:rPr>
        <w:t>划定村庄建设边界，预留新增民居建设用地地基平整10亩</w:t>
      </w:r>
      <w:r>
        <w:rPr>
          <w:rFonts w:hint="default" w:ascii="Times New Roman" w:hAnsi="Times New Roman" w:cs="Times New Roman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lang w:bidi="ar"/>
        </w:rPr>
        <w:t>（四）实施步骤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1．近期：201</w:t>
      </w:r>
      <w:r>
        <w:rPr>
          <w:rFonts w:hint="default" w:ascii="Times New Roman" w:hAnsi="Times New Roman" w:cs="Times New Roman"/>
          <w:b w:val="0"/>
          <w:bCs/>
          <w:lang w:val="en-US" w:eastAsia="zh-CN" w:bidi="ar"/>
        </w:rPr>
        <w:t>9</w:t>
      </w:r>
      <w:r>
        <w:rPr>
          <w:rFonts w:hint="default" w:ascii="Times New Roman" w:hAnsi="Times New Roman" w:cs="Times New Roman"/>
          <w:b w:val="0"/>
          <w:bCs/>
          <w:lang w:bidi="ar"/>
        </w:rPr>
        <w:t>—2022年。完成道路交通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、</w:t>
      </w:r>
      <w:r>
        <w:rPr>
          <w:rFonts w:hint="default" w:ascii="Times New Roman" w:hAnsi="Times New Roman" w:cs="Times New Roman"/>
          <w:b w:val="0"/>
          <w:bCs/>
          <w:spacing w:val="8"/>
          <w:lang w:val="en-US" w:eastAsia="zh-CN" w:bidi="ar"/>
        </w:rPr>
        <w:t>排水、公共空间、</w:t>
      </w:r>
      <w:r>
        <w:rPr>
          <w:rFonts w:hint="default" w:ascii="Times New Roman" w:hAnsi="Times New Roman" w:cs="Times New Roman"/>
          <w:b w:val="0"/>
          <w:bCs/>
          <w:spacing w:val="8"/>
          <w:lang w:bidi="ar"/>
        </w:rPr>
        <w:t>环卫设施、亮化工程、绿化美化规划内容</w:t>
      </w:r>
      <w:r>
        <w:rPr>
          <w:rFonts w:hint="default" w:ascii="Times New Roman" w:hAnsi="Times New Roman" w:cs="Times New Roman"/>
          <w:b w:val="0"/>
          <w:bCs/>
          <w:lang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/>
          <w:lang w:bidi="ar"/>
        </w:rPr>
        <w:t>2．远期：2022—2035年。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</w:rPr>
        <w:t>完成产业发展、电力电信、民居建设等规划内容。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黑体" w:cs="Times New Roman"/>
          <w:b/>
          <w:lang w:bidi="ar"/>
        </w:rPr>
        <w:t>三、规划管理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bidi="ar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</w:t>
      </w:r>
      <w:r>
        <w:rPr>
          <w:rFonts w:hint="default" w:ascii="Times New Roman" w:hAnsi="Times New Roman" w:cs="Times New Roman"/>
          <w:lang w:val="en-US" w:eastAsia="zh-CN" w:bidi="ar"/>
        </w:rPr>
        <w:t>镇级</w:t>
      </w:r>
      <w:r>
        <w:rPr>
          <w:rFonts w:hint="default" w:ascii="Times New Roman" w:hAnsi="Times New Roman" w:cs="Times New Roman"/>
          <w:lang w:bidi="ar"/>
        </w:rPr>
        <w:t>审批。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default" w:ascii="Times New Roman" w:hAnsi="Times New Roman" w:cs="Times New Roman"/>
          <w:lang w:bidi="ar"/>
        </w:rPr>
        <w:t>（三）严格执行城乡清洁相关法律法规，开展农村人居</w:t>
      </w:r>
      <w:r>
        <w:rPr>
          <w:rFonts w:hint="eastAsia" w:cs="仿宋_GB2312"/>
          <w:sz w:val="32"/>
          <w:szCs w:val="32"/>
          <w:lang w:bidi="ar"/>
        </w:rPr>
        <w:t>环境提升行动，提高村庄文明程度。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</w:rPr>
      </w:pPr>
      <w:r>
        <w:rPr>
          <w:rFonts w:hint="eastAsia" w:cs="仿宋_GB2312"/>
          <w:sz w:val="32"/>
          <w:szCs w:val="32"/>
          <w:lang w:bidi="ar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cs="仿宋_GB2312"/>
          <w:sz w:val="32"/>
          <w:szCs w:val="32"/>
          <w:lang w:bidi="ar"/>
        </w:rPr>
      </w:pPr>
      <w:r>
        <w:rPr>
          <w:rFonts w:hint="eastAsia" w:cs="仿宋_GB2312"/>
          <w:sz w:val="32"/>
          <w:szCs w:val="32"/>
          <w:lang w:bidi="ar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规划工作小组组长：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王晓江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105" w:leftChars="0"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2"/>
          <w:szCs w:val="32"/>
          <w:lang w:val="en-US" w:eastAsia="zh-CN"/>
        </w:rPr>
        <w:t>王朝林、王晓江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王晓军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陈向前、彭晓阳.捌京东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×××</w:t>
      </w:r>
      <w:r>
        <w:rPr>
          <w:rFonts w:hint="eastAsia" w:ascii="Times New Roman" w:hAnsi="Times New Roman" w:cs="Times New Roman"/>
          <w:color w:val="FF000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</w:rPr>
      </w:pPr>
    </w:p>
    <w:p>
      <w:pPr>
        <w:spacing w:line="540" w:lineRule="exact"/>
        <w:ind w:firstLine="4800" w:firstLineChars="1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芒卡镇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村民委员会</w:t>
      </w:r>
    </w:p>
    <w:p>
      <w:pPr>
        <w:spacing w:line="540" w:lineRule="exac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二0一九年三月二十三日</w:t>
      </w:r>
    </w:p>
    <w:sectPr>
      <w:footerReference r:id="rId3" w:type="default"/>
      <w:pgSz w:w="11906" w:h="16838"/>
      <w:pgMar w:top="2041" w:right="1474" w:bottom="1757" w:left="1474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2698115</wp:posOffset>
              </wp:positionH>
              <wp:positionV relativeFrom="paragraph">
                <wp:posOffset>-113665</wp:posOffset>
              </wp:positionV>
              <wp:extent cx="472440" cy="2603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60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2.45pt;margin-top:-8.95pt;height:20.5pt;width:37.2pt;mso-position-horizontal-relative:margin;z-index:251658240;mso-width-relative:page;mso-height-relative:page;" filled="f" stroked="f" coordsize="21600,21600" o:gfxdata="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N117X3ZAAAACgEAAA8A&#10;AAAAAAAAAQAgAAAAIgAAAGRycy9kb3ducmV2LnhtbFBLAQIUABQAAAAIAIdO4kDfC+2wFgIAABME&#10;AAAOAAAAAAAAAAEAIAAAACg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4F627"/>
    <w:multiLevelType w:val="singleLevel"/>
    <w:tmpl w:val="BDE4F627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B7AC4D"/>
    <w:multiLevelType w:val="singleLevel"/>
    <w:tmpl w:val="10B7AC4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E4734D"/>
    <w:multiLevelType w:val="singleLevel"/>
    <w:tmpl w:val="1BE473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01FDD"/>
    <w:rsid w:val="02D01FDD"/>
    <w:rsid w:val="05E853C5"/>
    <w:rsid w:val="1BDF211A"/>
    <w:rsid w:val="1EC1159D"/>
    <w:rsid w:val="314B6CB8"/>
    <w:rsid w:val="37C9327D"/>
    <w:rsid w:val="41571B80"/>
    <w:rsid w:val="48DE5701"/>
    <w:rsid w:val="582E4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2019-04-12T06:57:00Z</dcterms:created>
  <dc:creator>格不勒改</dc:creator>
  <cp:lastModifiedBy>格不勒改</cp:lastModifiedBy>
  <dcterms:modified xsi:type="dcterms:W3CDTF">2019-04-12T08:34:32Z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