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after="0" w:line="600" w:lineRule="exact"/>
        <w:ind w:right="0" w:rightChars="0"/>
        <w:jc w:val="both"/>
        <w:textAlignment w:val="auto"/>
        <w:rPr>
          <w:rFonts w:hint="default" w:ascii="Times New Roman" w:hAnsi="Times New Roman" w:eastAsia="方正小标宋简体" w:cs="Times New Roman"/>
          <w:snapToGrid/>
          <w:kern w:val="0"/>
          <w:sz w:val="44"/>
          <w:szCs w:val="22"/>
          <w:lang w:val="zh-CN" w:eastAsia="zh-CN" w:bidi="zh-CN"/>
        </w:rPr>
      </w:pPr>
    </w:p>
    <w:p>
      <w:pPr>
        <w:bidi w:val="0"/>
        <w:jc w:val="center"/>
        <w:rPr>
          <w:rFonts w:hint="default" w:asciiTheme="minorEastAsia" w:hAnsiTheme="minorEastAsia" w:eastAsiaTheme="minorEastAsia" w:cstheme="minorEastAsia"/>
          <w:color w:val="auto"/>
          <w:sz w:val="44"/>
          <w:szCs w:val="44"/>
          <w:lang w:val="zh-CN" w:eastAsia="zh-CN"/>
        </w:rPr>
      </w:pPr>
      <w:r>
        <w:rPr>
          <w:rFonts w:hint="default" w:asciiTheme="minorEastAsia" w:hAnsiTheme="minorEastAsia" w:eastAsiaTheme="minorEastAsia" w:cstheme="minorEastAsia"/>
          <w:color w:val="auto"/>
          <w:sz w:val="44"/>
          <w:szCs w:val="44"/>
          <w:lang w:val="zh-CN" w:eastAsia="zh-CN"/>
        </w:rPr>
        <w:t>沧源佤族自治县人民政府关于印发沧源佤族</w:t>
      </w:r>
    </w:p>
    <w:p>
      <w:pPr>
        <w:bidi w:val="0"/>
        <w:jc w:val="center"/>
        <w:rPr>
          <w:rFonts w:hint="default" w:asciiTheme="minorEastAsia" w:hAnsiTheme="minorEastAsia" w:eastAsiaTheme="minorEastAsia" w:cstheme="minorEastAsia"/>
          <w:color w:val="auto"/>
          <w:sz w:val="44"/>
          <w:szCs w:val="44"/>
          <w:lang w:val="zh-CN" w:eastAsia="zh-CN"/>
        </w:rPr>
      </w:pPr>
      <w:r>
        <w:rPr>
          <w:rFonts w:hint="default" w:asciiTheme="minorEastAsia" w:hAnsiTheme="minorEastAsia" w:eastAsiaTheme="minorEastAsia" w:cstheme="minorEastAsia"/>
          <w:color w:val="auto"/>
          <w:sz w:val="44"/>
          <w:szCs w:val="44"/>
          <w:lang w:val="zh-CN" w:eastAsia="zh-CN"/>
        </w:rPr>
        <w:t>自治县改革完善被征地农民基本养老</w:t>
      </w:r>
    </w:p>
    <w:p>
      <w:pPr>
        <w:bidi w:val="0"/>
        <w:jc w:val="center"/>
        <w:rPr>
          <w:rFonts w:hint="default" w:asciiTheme="minorEastAsia" w:hAnsiTheme="minorEastAsia" w:eastAsiaTheme="minorEastAsia" w:cstheme="minorEastAsia"/>
          <w:color w:val="auto"/>
          <w:sz w:val="44"/>
          <w:szCs w:val="44"/>
          <w:lang w:val="zh-CN" w:eastAsia="zh-CN"/>
        </w:rPr>
      </w:pPr>
      <w:r>
        <w:rPr>
          <w:rFonts w:hint="default" w:asciiTheme="minorEastAsia" w:hAnsiTheme="minorEastAsia" w:eastAsiaTheme="minorEastAsia" w:cstheme="minorEastAsia"/>
          <w:color w:val="auto"/>
          <w:sz w:val="44"/>
          <w:szCs w:val="44"/>
          <w:lang w:val="zh-CN" w:eastAsia="zh-CN"/>
        </w:rPr>
        <w:t>保障政策实施办法的通知</w:t>
      </w: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ascii="楷体_GB2312" w:hAnsi="楷体_GB2312" w:eastAsia="楷体_GB2312" w:cs="楷体_GB2312"/>
          <w:i w:val="0"/>
          <w:caps w:val="0"/>
          <w:color w:val="333333"/>
          <w:spacing w:val="0"/>
          <w:sz w:val="32"/>
          <w:szCs w:val="32"/>
          <w:shd w:val="clear" w:fill="FFFFFF"/>
          <w:lang w:val="en-US" w:eastAsia="zh-CN"/>
        </w:rPr>
      </w:pPr>
      <w:r>
        <w:rPr>
          <w:rFonts w:hint="default" w:ascii="楷体_GB2312" w:hAnsi="楷体_GB2312" w:eastAsia="楷体_GB2312" w:cs="楷体_GB2312"/>
          <w:i w:val="0"/>
          <w:caps w:val="0"/>
          <w:color w:val="333333"/>
          <w:spacing w:val="0"/>
          <w:sz w:val="32"/>
          <w:szCs w:val="32"/>
          <w:shd w:val="clear" w:fill="FFFFFF"/>
          <w:lang w:val="en-US" w:eastAsia="zh-CN"/>
        </w:rPr>
        <w:t>沧政发〔202</w:t>
      </w:r>
      <w:r>
        <w:rPr>
          <w:rFonts w:hint="eastAsia" w:ascii="楷体_GB2312" w:hAnsi="楷体_GB2312" w:eastAsia="楷体_GB2312" w:cs="楷体_GB2312"/>
          <w:i w:val="0"/>
          <w:caps w:val="0"/>
          <w:color w:val="333333"/>
          <w:spacing w:val="0"/>
          <w:sz w:val="32"/>
          <w:szCs w:val="32"/>
          <w:shd w:val="clear" w:fill="FFFFFF"/>
          <w:lang w:val="en-US" w:eastAsia="zh-CN"/>
        </w:rPr>
        <w:t>0</w:t>
      </w:r>
      <w:r>
        <w:rPr>
          <w:rFonts w:hint="default" w:ascii="楷体_GB2312" w:hAnsi="楷体_GB2312" w:eastAsia="楷体_GB2312" w:cs="楷体_GB2312"/>
          <w:i w:val="0"/>
          <w:caps w:val="0"/>
          <w:color w:val="333333"/>
          <w:spacing w:val="0"/>
          <w:sz w:val="32"/>
          <w:szCs w:val="32"/>
          <w:shd w:val="clear" w:fill="FFFFFF"/>
          <w:lang w:val="en-US" w:eastAsia="zh-CN"/>
        </w:rPr>
        <w:t>〕</w:t>
      </w:r>
      <w:r>
        <w:rPr>
          <w:rFonts w:hint="eastAsia" w:ascii="楷体_GB2312" w:hAnsi="楷体_GB2312" w:eastAsia="楷体_GB2312" w:cs="楷体_GB2312"/>
          <w:i w:val="0"/>
          <w:caps w:val="0"/>
          <w:color w:val="333333"/>
          <w:spacing w:val="0"/>
          <w:sz w:val="32"/>
          <w:szCs w:val="32"/>
          <w:shd w:val="clear" w:fill="FFFFFF"/>
          <w:lang w:val="en-US" w:eastAsia="zh-CN"/>
        </w:rPr>
        <w:t>20</w:t>
      </w:r>
      <w:r>
        <w:rPr>
          <w:rFonts w:hint="default" w:ascii="楷体_GB2312" w:hAnsi="楷体_GB2312" w:eastAsia="楷体_GB2312" w:cs="楷体_GB2312"/>
          <w:i w:val="0"/>
          <w:caps w:val="0"/>
          <w:color w:val="333333"/>
          <w:spacing w:val="0"/>
          <w:sz w:val="32"/>
          <w:szCs w:val="32"/>
          <w:shd w:val="clear" w:fill="FFFFFF"/>
          <w:lang w:val="en-US" w:eastAsia="zh-CN"/>
        </w:rPr>
        <w:t>号</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各乡、民族乡、镇人民政府，勐省农场社区管委会，县直各办、局：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《沧源佤族自治县改革完善被征地农民基本养老保障政策实施办法》已经县第十三届人民政府第36次常务会议研究通过，现印发给你们，请认真贯彻执行。</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160" w:firstLineChars="13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zh-CN" w:eastAsia="zh-CN"/>
        </w:rPr>
        <w:t>沧源佤族自治县人民政府</w:t>
      </w:r>
    </w:p>
    <w:p>
      <w:pPr>
        <w:keepNext w:val="0"/>
        <w:keepLines w:val="0"/>
        <w:pageBreakBefore w:val="0"/>
        <w:widowControl w:val="0"/>
        <w:kinsoku/>
        <w:wordWrap/>
        <w:overflowPunct/>
        <w:topLinePunct w:val="0"/>
        <w:autoSpaceDE/>
        <w:autoSpaceDN/>
        <w:bidi w:val="0"/>
        <w:adjustRightInd/>
        <w:snapToGrid/>
        <w:spacing w:line="240" w:lineRule="auto"/>
        <w:ind w:firstLine="4800" w:firstLineChars="15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2020年3月26日</w:t>
      </w:r>
    </w:p>
    <w:p>
      <w:pPr>
        <w:keepNext w:val="0"/>
        <w:keepLines w:val="0"/>
        <w:pageBreakBefore w:val="0"/>
        <w:widowControl w:val="0"/>
        <w:kinsoku/>
        <w:wordWrap/>
        <w:overflowPunct/>
        <w:topLinePunct w:val="0"/>
        <w:autoSpaceDE w:val="0"/>
        <w:autoSpaceDN w:val="0"/>
        <w:bidi w:val="0"/>
        <w:adjustRightInd/>
        <w:snapToGrid/>
        <w:spacing w:after="0" w:line="570" w:lineRule="exact"/>
        <w:ind w:right="0" w:rightChars="0" w:firstLine="640" w:firstLineChars="200"/>
        <w:jc w:val="left"/>
        <w:textAlignment w:val="auto"/>
        <w:rPr>
          <w:rFonts w:hint="default" w:ascii="Times New Roman" w:hAnsi="Times New Roman" w:eastAsia="方正小标宋简体" w:cs="Times New Roman"/>
          <w:snapToGrid/>
          <w:kern w:val="0"/>
          <w:sz w:val="44"/>
          <w:szCs w:val="22"/>
          <w:lang w:val="zh-CN" w:eastAsia="zh-CN" w:bidi="zh-CN"/>
        </w:rPr>
      </w:pPr>
      <w:r>
        <w:rPr>
          <w:rFonts w:hint="eastAsia" w:ascii="仿宋_GB2312" w:hAnsi="仿宋_GB2312" w:eastAsia="仿宋_GB2312" w:cs="仿宋_GB2312"/>
          <w:i w:val="0"/>
          <w:caps w:val="0"/>
          <w:color w:val="333333"/>
          <w:spacing w:val="0"/>
          <w:sz w:val="32"/>
          <w:szCs w:val="32"/>
          <w:shd w:val="clear" w:fill="FFFFFF"/>
          <w:lang w:val="en-US" w:eastAsia="zh-CN"/>
        </w:rPr>
        <w:t>（此件公开发布）</w:t>
      </w:r>
    </w:p>
    <w:p>
      <w:pPr>
        <w:pStyle w:val="2"/>
        <w:keepNext/>
        <w:keepLines/>
        <w:pageBreakBefore w:val="0"/>
        <w:widowControl/>
        <w:kinsoku w:val="0"/>
        <w:wordWrap/>
        <w:overflowPunct/>
        <w:topLinePunct w:val="0"/>
        <w:autoSpaceDE w:val="0"/>
        <w:autoSpaceDN w:val="0"/>
        <w:bidi w:val="0"/>
        <w:adjustRightInd w:val="0"/>
        <w:snapToGrid w:val="0"/>
        <w:spacing w:line="400" w:lineRule="exact"/>
        <w:textAlignment w:val="baseline"/>
        <w:rPr>
          <w:rFonts w:hint="default"/>
          <w:lang w:val="zh-CN" w:eastAsia="zh-CN"/>
        </w:rPr>
      </w:pPr>
    </w:p>
    <w:p>
      <w:pPr>
        <w:rPr>
          <w:rFonts w:hint="default"/>
          <w:lang w:val="zh-CN" w:eastAsia="zh-CN"/>
        </w:rPr>
      </w:pPr>
    </w:p>
    <w:p>
      <w:pPr>
        <w:pStyle w:val="2"/>
        <w:rPr>
          <w:rFonts w:hint="default"/>
          <w:lang w:val="zh-CN" w:eastAsia="zh-CN"/>
        </w:rPr>
      </w:pPr>
    </w:p>
    <w:p>
      <w:pPr>
        <w:rPr>
          <w:rFonts w:hint="default"/>
          <w:lang w:val="zh-CN" w:eastAsia="zh-CN"/>
        </w:rPr>
      </w:pPr>
    </w:p>
    <w:p>
      <w:pPr>
        <w:bidi w:val="0"/>
        <w:jc w:val="both"/>
        <w:rPr>
          <w:rFonts w:hint="default" w:asciiTheme="minorEastAsia" w:hAnsiTheme="minorEastAsia" w:eastAsiaTheme="minorEastAsia" w:cstheme="minorEastAsia"/>
          <w:color w:val="auto"/>
          <w:sz w:val="44"/>
          <w:szCs w:val="44"/>
          <w:lang w:val="zh-CN"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heme="minorEastAsia" w:hAnsiTheme="minorEastAsia" w:eastAsiaTheme="minorEastAsia" w:cstheme="minorEastAsia"/>
          <w:color w:val="auto"/>
          <w:sz w:val="44"/>
          <w:szCs w:val="44"/>
          <w:lang w:val="zh-CN" w:eastAsia="zh-CN"/>
        </w:rPr>
      </w:pPr>
    </w:p>
    <w:p>
      <w:pPr>
        <w:bidi w:val="0"/>
        <w:jc w:val="center"/>
        <w:rPr>
          <w:rFonts w:hint="default" w:asciiTheme="minorEastAsia" w:hAnsiTheme="minorEastAsia" w:eastAsiaTheme="minorEastAsia" w:cstheme="minorEastAsia"/>
          <w:color w:val="auto"/>
          <w:sz w:val="44"/>
          <w:szCs w:val="44"/>
          <w:lang w:val="zh-CN" w:eastAsia="zh-CN"/>
        </w:rPr>
      </w:pPr>
      <w:r>
        <w:rPr>
          <w:rFonts w:hint="default" w:asciiTheme="minorEastAsia" w:hAnsiTheme="minorEastAsia" w:eastAsiaTheme="minorEastAsia" w:cstheme="minorEastAsia"/>
          <w:color w:val="auto"/>
          <w:sz w:val="44"/>
          <w:szCs w:val="44"/>
          <w:lang w:val="zh-CN" w:eastAsia="zh-CN"/>
        </w:rPr>
        <w:t>沧源佤族自治县改革完善被征地农民基本</w:t>
      </w:r>
    </w:p>
    <w:p>
      <w:pPr>
        <w:bidi w:val="0"/>
        <w:jc w:val="center"/>
        <w:rPr>
          <w:rFonts w:hint="eastAsia" w:asciiTheme="minorEastAsia" w:hAnsiTheme="minorEastAsia" w:eastAsiaTheme="minorEastAsia" w:cstheme="minorEastAsia"/>
          <w:color w:val="auto"/>
          <w:sz w:val="44"/>
          <w:szCs w:val="44"/>
          <w:lang w:val="en-US" w:eastAsia="zh-CN"/>
        </w:rPr>
      </w:pPr>
      <w:r>
        <w:rPr>
          <w:rFonts w:hint="default" w:asciiTheme="minorEastAsia" w:hAnsiTheme="minorEastAsia" w:eastAsiaTheme="minorEastAsia" w:cstheme="minorEastAsia"/>
          <w:color w:val="auto"/>
          <w:sz w:val="44"/>
          <w:szCs w:val="44"/>
          <w:lang w:val="zh-CN" w:eastAsia="zh-CN"/>
        </w:rPr>
        <w:t>养老保障政策实施办法</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right="0"/>
        <w:jc w:val="center"/>
        <w:textAlignment w:val="baseline"/>
        <w:rPr>
          <w:rFonts w:hint="eastAsia" w:ascii="黑体" w:hAnsi="黑体" w:eastAsia="黑体" w:cs="黑体"/>
          <w:snapToGrid/>
          <w:color w:val="000000"/>
          <w:kern w:val="0"/>
          <w:sz w:val="32"/>
          <w:szCs w:val="32"/>
          <w:lang w:val="zh-CN" w:eastAsia="zh-CN"/>
        </w:rPr>
      </w:pPr>
    </w:p>
    <w:p>
      <w:pPr>
        <w:keepNext w:val="0"/>
        <w:keepLines w:val="0"/>
        <w:pageBreakBefore w:val="0"/>
        <w:widowControl w:val="0"/>
        <w:kinsoku w:val="0"/>
        <w:wordWrap/>
        <w:overflowPunct/>
        <w:topLinePunct w:val="0"/>
        <w:autoSpaceDE w:val="0"/>
        <w:autoSpaceDN w:val="0"/>
        <w:bidi w:val="0"/>
        <w:adjustRightInd w:val="0"/>
        <w:snapToGrid w:val="0"/>
        <w:spacing w:line="570" w:lineRule="exact"/>
        <w:ind w:right="0"/>
        <w:jc w:val="center"/>
        <w:textAlignment w:val="baseline"/>
      </w:pPr>
      <w:r>
        <w:rPr>
          <w:rFonts w:hint="eastAsia" w:ascii="黑体" w:hAnsi="黑体" w:eastAsia="黑体" w:cs="黑体"/>
          <w:snapToGrid/>
          <w:color w:val="000000"/>
          <w:kern w:val="0"/>
          <w:sz w:val="32"/>
          <w:szCs w:val="32"/>
          <w:lang w:val="zh-CN" w:eastAsia="zh-CN"/>
        </w:rPr>
        <w:t>第一章  总</w:t>
      </w:r>
      <w:r>
        <w:rPr>
          <w:rFonts w:hint="eastAsia" w:ascii="黑体" w:hAnsi="黑体" w:eastAsia="黑体" w:cs="黑体"/>
          <w:snapToGrid/>
          <w:color w:val="000000"/>
          <w:kern w:val="0"/>
          <w:sz w:val="32"/>
          <w:szCs w:val="32"/>
          <w:lang w:val="en-US" w:eastAsia="zh-CN"/>
        </w:rPr>
        <w:t xml:space="preserve">  </w:t>
      </w:r>
      <w:r>
        <w:rPr>
          <w:rFonts w:hint="eastAsia" w:ascii="黑体" w:hAnsi="黑体" w:eastAsia="黑体" w:cs="黑体"/>
          <w:snapToGrid/>
          <w:color w:val="000000"/>
          <w:kern w:val="0"/>
          <w:sz w:val="32"/>
          <w:szCs w:val="32"/>
          <w:lang w:val="zh-CN" w:eastAsia="zh-CN"/>
        </w:rPr>
        <w:t>则</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right="0" w:firstLine="640" w:firstLineChars="200"/>
        <w:textAlignment w:val="baseline"/>
        <w:rPr>
          <w:rFonts w:hint="eastAsia" w:ascii="黑体" w:hAnsi="黑体" w:eastAsia="黑体" w:cs="黑体"/>
          <w:snapToGrid/>
          <w:color w:val="000000"/>
          <w:kern w:val="0"/>
          <w:sz w:val="32"/>
          <w:szCs w:val="32"/>
          <w:lang w:val="zh-CN" w:eastAsia="zh-CN"/>
        </w:rPr>
      </w:pPr>
    </w:p>
    <w:p>
      <w:pPr>
        <w:keepNext w:val="0"/>
        <w:keepLines w:val="0"/>
        <w:pageBreakBefore w:val="0"/>
        <w:widowControl w:val="0"/>
        <w:kinsoku w:val="0"/>
        <w:wordWrap/>
        <w:overflowPunct/>
        <w:topLinePunct w:val="0"/>
        <w:autoSpaceDE w:val="0"/>
        <w:autoSpaceDN w:val="0"/>
        <w:bidi w:val="0"/>
        <w:adjustRightInd w:val="0"/>
        <w:snapToGrid w:val="0"/>
        <w:spacing w:line="600" w:lineRule="exact"/>
        <w:ind w:right="0" w:firstLine="640" w:firstLineChars="200"/>
        <w:textAlignment w:val="baseline"/>
        <w:rPr>
          <w:rFonts w:hint="eastAsia" w:ascii="仿宋_GB2312" w:hAnsi="仿宋_GB2312" w:eastAsia="仿宋_GB2312" w:cs="仿宋_GB2312"/>
          <w:sz w:val="32"/>
          <w:szCs w:val="32"/>
        </w:rPr>
      </w:pPr>
      <w:r>
        <w:rPr>
          <w:rFonts w:hint="eastAsia" w:ascii="黑体" w:hAnsi="黑体" w:eastAsia="黑体" w:cs="黑体"/>
          <w:snapToGrid/>
          <w:color w:val="000000"/>
          <w:kern w:val="0"/>
          <w:sz w:val="32"/>
          <w:szCs w:val="32"/>
          <w:lang w:val="zh-CN" w:eastAsia="zh-CN"/>
        </w:rPr>
        <w:t>第一条</w:t>
      </w:r>
      <w:r>
        <w:rPr>
          <w:rFonts w:hint="eastAsia" w:ascii="黑体" w:hAnsi="黑体" w:eastAsia="黑体" w:cs="黑体"/>
          <w:snapToGrid/>
          <w:color w:val="000000"/>
          <w:kern w:val="0"/>
          <w:sz w:val="32"/>
          <w:szCs w:val="32"/>
          <w:lang w:val="en-US" w:eastAsia="zh-CN"/>
        </w:rPr>
        <w:t xml:space="preserve">  </w:t>
      </w:r>
      <w:r>
        <w:rPr>
          <w:rFonts w:hint="eastAsia" w:ascii="仿宋_GB2312" w:hAnsi="仿宋_GB2312" w:eastAsia="仿宋_GB2312" w:cs="仿宋_GB2312"/>
          <w:sz w:val="32"/>
          <w:szCs w:val="32"/>
        </w:rPr>
        <w:t>为妥善解决被征地农民的养老保障问题，维护被征地农民合法权益，确保社会稳定，根据《云南省人民政府办公厅关于改革完善被征地农民基本养老保障的指导意见》（云政办发〔2019〕1号）和《临沧市改革完善被征地农民基本养老保障工作实施方案》等文件精神，结合沧源</w:t>
      </w:r>
      <w:r>
        <w:rPr>
          <w:rFonts w:hint="eastAsia" w:ascii="仿宋_GB2312" w:hAnsi="仿宋_GB2312" w:eastAsia="仿宋_GB2312" w:cs="仿宋_GB2312"/>
          <w:sz w:val="32"/>
          <w:szCs w:val="32"/>
          <w:lang w:eastAsia="zh-CN"/>
        </w:rPr>
        <w:t>佤族</w:t>
      </w:r>
      <w:r>
        <w:rPr>
          <w:rFonts w:hint="eastAsia" w:ascii="仿宋_GB2312" w:hAnsi="仿宋_GB2312" w:eastAsia="仿宋_GB2312" w:cs="仿宋_GB2312"/>
          <w:sz w:val="32"/>
          <w:szCs w:val="32"/>
        </w:rPr>
        <w:t>自治县实际，制定本《实施办法》（以下简称《办法》）。</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right="0" w:firstLine="640" w:firstLineChars="200"/>
        <w:textAlignment w:val="baseline"/>
        <w:rPr>
          <w:rFonts w:hint="eastAsia" w:ascii="仿宋_GB2312" w:hAnsi="仿宋_GB2312" w:eastAsia="仿宋_GB2312" w:cs="仿宋_GB2312"/>
          <w:sz w:val="32"/>
          <w:szCs w:val="32"/>
        </w:rPr>
      </w:pPr>
      <w:r>
        <w:rPr>
          <w:rFonts w:hint="eastAsia" w:ascii="黑体" w:hAnsi="黑体" w:eastAsia="黑体" w:cs="黑体"/>
          <w:snapToGrid/>
          <w:color w:val="000000"/>
          <w:kern w:val="0"/>
          <w:sz w:val="32"/>
          <w:szCs w:val="32"/>
          <w:lang w:val="zh-CN" w:eastAsia="zh-CN"/>
        </w:rPr>
        <w:t>第二条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本《办法》按照国家关于完善基本养老保险制度的总体部署，以制度相衔接、普遍有保障、待遇有提高、资金可持续为目标，全面改革完善被征地农民基本养老保障政策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将被征地农民纳入基本养老保险制度，进一步健全参保缴费激励机制，积极引导被征地农民主动选择参加基本养老保险，切实解决被征地农民老有所养问题，实现被征地农民基本养老保障政策与国家规定的基本养老保险制度衔接并轨。</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right="0" w:firstLine="640" w:firstLineChars="200"/>
        <w:textAlignment w:val="baseline"/>
        <w:rPr>
          <w:rFonts w:hint="eastAsia" w:ascii="仿宋_GB2312" w:hAnsi="仿宋_GB2312" w:eastAsia="仿宋_GB2312" w:cs="仿宋_GB2312"/>
          <w:sz w:val="32"/>
          <w:szCs w:val="32"/>
        </w:rPr>
      </w:pPr>
      <w:r>
        <w:rPr>
          <w:rFonts w:hint="eastAsia" w:ascii="黑体" w:hAnsi="黑体" w:eastAsia="黑体" w:cs="黑体"/>
          <w:snapToGrid/>
          <w:color w:val="000000"/>
          <w:kern w:val="0"/>
          <w:sz w:val="32"/>
          <w:szCs w:val="32"/>
          <w:lang w:val="zh-CN" w:eastAsia="zh-CN"/>
        </w:rPr>
        <w:t>第三条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本《办法》根据《中华人民共和国社会保险法》内要求，社会保险制度坚持广覆盖、保基本、多层次、可持续的方针，社会保险水平应当与经济社会发展水平相适应。</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right="0" w:firstLine="640" w:firstLineChars="200"/>
        <w:textAlignment w:val="baseline"/>
        <w:rPr>
          <w:rFonts w:hint="eastAsia" w:ascii="仿宋_GB2312" w:hAnsi="仿宋_GB2312" w:eastAsia="仿宋_GB2312" w:cs="仿宋_GB2312"/>
          <w:sz w:val="32"/>
          <w:szCs w:val="32"/>
        </w:rPr>
      </w:pPr>
      <w:r>
        <w:rPr>
          <w:rFonts w:hint="eastAsia" w:ascii="黑体" w:hAnsi="黑体" w:eastAsia="黑体" w:cs="黑体"/>
          <w:snapToGrid/>
          <w:color w:val="000000"/>
          <w:kern w:val="0"/>
          <w:sz w:val="32"/>
          <w:szCs w:val="32"/>
          <w:lang w:val="zh-CN" w:eastAsia="zh-CN"/>
        </w:rPr>
        <w:t>第四条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本《办法》以“以人为本、全面覆盖，稳步推进、规范有序，公平公正、阳光操作，因地制宜、量力而行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原则，积极引导符合参保条件的被征地农民参加基本养老保险，应保尽保；规范征地程序和审核报批，规范资金管理和经办流程，参保缴费补助要体现公平，合理确定保障标准，严格落实“先保后征”，确保资金可持续。</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right="0"/>
        <w:jc w:val="both"/>
        <w:textAlignment w:val="baseline"/>
        <w:rPr>
          <w:rFonts w:hint="eastAsia" w:ascii="黑体" w:hAnsi="黑体" w:eastAsia="黑体" w:cs="黑体"/>
          <w:snapToGrid/>
          <w:color w:val="000000"/>
          <w:kern w:val="0"/>
          <w:sz w:val="32"/>
          <w:szCs w:val="32"/>
          <w:lang w:val="zh-CN" w:eastAsia="zh-CN"/>
        </w:rPr>
      </w:pPr>
    </w:p>
    <w:p>
      <w:pPr>
        <w:keepNext w:val="0"/>
        <w:keepLines w:val="0"/>
        <w:pageBreakBefore w:val="0"/>
        <w:widowControl w:val="0"/>
        <w:kinsoku w:val="0"/>
        <w:wordWrap/>
        <w:overflowPunct/>
        <w:topLinePunct w:val="0"/>
        <w:autoSpaceDE w:val="0"/>
        <w:autoSpaceDN w:val="0"/>
        <w:bidi w:val="0"/>
        <w:adjustRightInd w:val="0"/>
        <w:snapToGrid w:val="0"/>
        <w:spacing w:line="600" w:lineRule="exact"/>
        <w:ind w:right="0"/>
        <w:jc w:val="center"/>
        <w:textAlignment w:val="baseline"/>
        <w:rPr>
          <w:rFonts w:hint="eastAsia" w:ascii="仿宋_GB2312" w:hAnsi="仿宋_GB2312" w:eastAsia="仿宋_GB2312" w:cs="仿宋_GB2312"/>
          <w:sz w:val="32"/>
          <w:szCs w:val="32"/>
        </w:rPr>
      </w:pPr>
      <w:r>
        <w:rPr>
          <w:rFonts w:hint="eastAsia" w:ascii="黑体" w:hAnsi="黑体" w:eastAsia="黑体" w:cs="黑体"/>
          <w:snapToGrid/>
          <w:color w:val="000000"/>
          <w:kern w:val="0"/>
          <w:sz w:val="32"/>
          <w:szCs w:val="32"/>
          <w:lang w:val="zh-CN" w:eastAsia="zh-CN"/>
        </w:rPr>
        <w:t xml:space="preserve">第二章 </w:t>
      </w:r>
      <w:r>
        <w:rPr>
          <w:rFonts w:hint="eastAsia" w:ascii="黑体" w:hAnsi="黑体" w:eastAsia="黑体" w:cs="黑体"/>
          <w:snapToGrid/>
          <w:color w:val="000000"/>
          <w:kern w:val="0"/>
          <w:sz w:val="32"/>
          <w:szCs w:val="32"/>
          <w:lang w:val="en-US" w:eastAsia="zh-CN"/>
        </w:rPr>
        <w:t xml:space="preserve"> </w:t>
      </w:r>
      <w:r>
        <w:rPr>
          <w:rFonts w:hint="eastAsia" w:ascii="黑体" w:hAnsi="黑体" w:eastAsia="黑体" w:cs="黑体"/>
          <w:snapToGrid/>
          <w:color w:val="000000"/>
          <w:kern w:val="0"/>
          <w:sz w:val="32"/>
          <w:szCs w:val="32"/>
          <w:lang w:val="zh-CN" w:eastAsia="zh-CN"/>
        </w:rPr>
        <w:t>保障范围</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right="0" w:firstLine="640" w:firstLineChars="200"/>
        <w:textAlignment w:val="baseline"/>
        <w:rPr>
          <w:rFonts w:hint="eastAsia" w:ascii="黑体" w:hAnsi="黑体" w:eastAsia="黑体" w:cs="黑体"/>
          <w:snapToGrid/>
          <w:color w:val="000000"/>
          <w:kern w:val="0"/>
          <w:sz w:val="32"/>
          <w:szCs w:val="32"/>
          <w:lang w:val="zh-CN" w:eastAsia="zh-CN"/>
        </w:rPr>
      </w:pPr>
    </w:p>
    <w:p>
      <w:pPr>
        <w:keepNext w:val="0"/>
        <w:keepLines w:val="0"/>
        <w:pageBreakBefore w:val="0"/>
        <w:widowControl w:val="0"/>
        <w:kinsoku w:val="0"/>
        <w:wordWrap/>
        <w:overflowPunct/>
        <w:topLinePunct w:val="0"/>
        <w:autoSpaceDE w:val="0"/>
        <w:autoSpaceDN w:val="0"/>
        <w:bidi w:val="0"/>
        <w:adjustRightInd w:val="0"/>
        <w:snapToGrid w:val="0"/>
        <w:spacing w:line="600" w:lineRule="exact"/>
        <w:ind w:right="0" w:firstLine="640" w:firstLineChars="200"/>
        <w:textAlignment w:val="baseline"/>
        <w:rPr>
          <w:rFonts w:hint="eastAsia" w:ascii="仿宋_GB2312" w:hAnsi="仿宋_GB2312" w:eastAsia="仿宋_GB2312" w:cs="仿宋_GB2312"/>
          <w:sz w:val="32"/>
          <w:szCs w:val="32"/>
        </w:rPr>
      </w:pPr>
      <w:r>
        <w:rPr>
          <w:rFonts w:hint="eastAsia" w:ascii="黑体" w:hAnsi="黑体" w:eastAsia="黑体" w:cs="黑体"/>
          <w:snapToGrid/>
          <w:color w:val="000000"/>
          <w:kern w:val="0"/>
          <w:sz w:val="32"/>
          <w:szCs w:val="32"/>
          <w:lang w:val="zh-CN" w:eastAsia="zh-CN"/>
        </w:rPr>
        <w:t>第五条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本《办法》适用于我县行政区域内享有农村集体土地承包权、</w:t>
      </w:r>
      <w:r>
        <w:rPr>
          <w:rFonts w:hint="eastAsia" w:ascii="宋体" w:hAnsi="宋体" w:eastAsia="宋体" w:cs="宋体"/>
          <w:sz w:val="32"/>
          <w:szCs w:val="32"/>
        </w:rPr>
        <w:t>2009</w:t>
      </w:r>
      <w:r>
        <w:rPr>
          <w:rFonts w:hint="eastAsia" w:ascii="仿宋_GB2312" w:hAnsi="仿宋_GB2312" w:eastAsia="仿宋_GB2312" w:cs="仿宋_GB2312"/>
          <w:sz w:val="32"/>
          <w:szCs w:val="32"/>
        </w:rPr>
        <w:t>年</w:t>
      </w:r>
      <w:r>
        <w:rPr>
          <w:rFonts w:hint="eastAsia" w:ascii="宋体" w:hAnsi="宋体" w:eastAsia="宋体" w:cs="宋体"/>
          <w:sz w:val="32"/>
          <w:szCs w:val="32"/>
        </w:rPr>
        <w:t>5</w:t>
      </w:r>
      <w:r>
        <w:rPr>
          <w:rFonts w:hint="eastAsia" w:ascii="仿宋_GB2312" w:hAnsi="仿宋_GB2312" w:eastAsia="仿宋_GB2312" w:cs="仿宋_GB2312"/>
          <w:sz w:val="32"/>
          <w:szCs w:val="32"/>
        </w:rPr>
        <w:t>月</w:t>
      </w:r>
      <w:r>
        <w:rPr>
          <w:rFonts w:hint="eastAsia" w:ascii="宋体" w:hAnsi="宋体" w:eastAsia="宋体" w:cs="宋体"/>
          <w:sz w:val="32"/>
          <w:szCs w:val="32"/>
        </w:rPr>
        <w:t>4</w:t>
      </w:r>
      <w:r>
        <w:rPr>
          <w:rFonts w:hint="eastAsia" w:ascii="仿宋_GB2312" w:hAnsi="仿宋_GB2312" w:eastAsia="仿宋_GB2312" w:cs="仿宋_GB2312"/>
          <w:sz w:val="32"/>
          <w:szCs w:val="32"/>
        </w:rPr>
        <w:t>日后被征用土地由用地方或项目业主单位按照相关文件要求已缴纳了养老保障专项资金，经报请国务院、省人民政府、省自然资源厅审批同意，被县人民政府依法统一征收而导致失去全部或大部分土地，家庭人均剩余耕地面积不足</w:t>
      </w:r>
      <w:r>
        <w:rPr>
          <w:rFonts w:hint="eastAsia" w:ascii="宋体" w:hAnsi="宋体" w:eastAsia="宋体" w:cs="宋体"/>
          <w:sz w:val="32"/>
          <w:szCs w:val="32"/>
        </w:rPr>
        <w:t>0.3</w:t>
      </w:r>
      <w:r>
        <w:rPr>
          <w:rFonts w:hint="eastAsia" w:ascii="仿宋_GB2312" w:hAnsi="仿宋_GB2312" w:eastAsia="仿宋_GB2312" w:cs="仿宋_GB2312"/>
          <w:sz w:val="32"/>
          <w:szCs w:val="32"/>
        </w:rPr>
        <w:t>亩（含</w:t>
      </w:r>
      <w:r>
        <w:rPr>
          <w:rFonts w:hint="eastAsia" w:ascii="宋体" w:hAnsi="宋体" w:eastAsia="宋体" w:cs="宋体"/>
          <w:sz w:val="32"/>
          <w:szCs w:val="32"/>
        </w:rPr>
        <w:t>0.3</w:t>
      </w:r>
      <w:r>
        <w:rPr>
          <w:rFonts w:hint="eastAsia" w:ascii="仿宋_GB2312" w:hAnsi="仿宋_GB2312" w:eastAsia="仿宋_GB2312" w:cs="仿宋_GB2312"/>
          <w:sz w:val="32"/>
          <w:szCs w:val="32"/>
        </w:rPr>
        <w:t>亩）、具有我县户籍年满</w:t>
      </w:r>
      <w:r>
        <w:rPr>
          <w:rFonts w:hint="eastAsia" w:ascii="宋体" w:hAnsi="宋体" w:eastAsia="宋体" w:cs="宋体"/>
          <w:sz w:val="32"/>
          <w:szCs w:val="32"/>
        </w:rPr>
        <w:t>16</w:t>
      </w:r>
      <w:r>
        <w:rPr>
          <w:rFonts w:hint="eastAsia" w:ascii="仿宋_GB2312" w:hAnsi="仿宋_GB2312" w:eastAsia="仿宋_GB2312" w:cs="仿宋_GB2312"/>
          <w:sz w:val="32"/>
          <w:szCs w:val="32"/>
        </w:rPr>
        <w:t>周岁（非在校生）及以上的在册人员。</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right="0" w:firstLine="640" w:firstLineChars="200"/>
        <w:textAlignment w:val="baseline"/>
        <w:rPr>
          <w:rFonts w:hint="eastAsia" w:ascii="仿宋_GB2312" w:hAnsi="仿宋_GB2312" w:eastAsia="仿宋_GB2312" w:cs="仿宋_GB2312"/>
          <w:sz w:val="32"/>
          <w:szCs w:val="32"/>
        </w:rPr>
      </w:pPr>
      <w:r>
        <w:rPr>
          <w:rFonts w:hint="eastAsia" w:ascii="黑体" w:hAnsi="黑体" w:eastAsia="黑体" w:cs="黑体"/>
          <w:snapToGrid/>
          <w:color w:val="000000"/>
          <w:kern w:val="0"/>
          <w:sz w:val="32"/>
          <w:szCs w:val="32"/>
          <w:lang w:val="zh-CN" w:eastAsia="zh-CN"/>
        </w:rPr>
        <w:t>第六条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机关事业单位在编及离退休人员、随用人单位以职工身份参加城镇职工基本养老保险的人员不纳入本《办法》保障范围；全日制在校生（含职高）不纳入本《办法》保障范围；大中型水利水电工程建设所涉及的征地补偿和移民安置问题依照国务院以及省人民政府有关规定执行，所涉及的被征地农民（移民）不纳入本《办法》保障范围；现役军人和服刑期间的人员不纳入本《办法》保障范围；户籍迁出本县的不纳入本《办法》保障范围。</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right="0"/>
        <w:jc w:val="center"/>
        <w:textAlignment w:val="baseline"/>
        <w:rPr>
          <w:rFonts w:hint="eastAsia" w:ascii="黑体" w:hAnsi="黑体" w:eastAsia="黑体" w:cs="黑体"/>
          <w:snapToGrid/>
          <w:color w:val="000000"/>
          <w:kern w:val="0"/>
          <w:sz w:val="32"/>
          <w:szCs w:val="32"/>
          <w:lang w:val="zh-CN" w:eastAsia="zh-CN"/>
        </w:rPr>
      </w:pPr>
    </w:p>
    <w:p>
      <w:pPr>
        <w:keepNext w:val="0"/>
        <w:keepLines w:val="0"/>
        <w:pageBreakBefore w:val="0"/>
        <w:widowControl w:val="0"/>
        <w:kinsoku w:val="0"/>
        <w:wordWrap/>
        <w:overflowPunct/>
        <w:topLinePunct w:val="0"/>
        <w:autoSpaceDE w:val="0"/>
        <w:autoSpaceDN w:val="0"/>
        <w:bidi w:val="0"/>
        <w:adjustRightInd w:val="0"/>
        <w:snapToGrid w:val="0"/>
        <w:spacing w:line="600" w:lineRule="exact"/>
        <w:ind w:right="0"/>
        <w:jc w:val="center"/>
        <w:textAlignment w:val="baseline"/>
        <w:rPr>
          <w:rFonts w:hint="eastAsia" w:ascii="仿宋_GB2312" w:hAnsi="仿宋_GB2312" w:eastAsia="仿宋_GB2312" w:cs="仿宋_GB2312"/>
          <w:sz w:val="32"/>
          <w:szCs w:val="32"/>
        </w:rPr>
      </w:pPr>
      <w:r>
        <w:rPr>
          <w:rFonts w:hint="eastAsia" w:ascii="黑体" w:hAnsi="黑体" w:eastAsia="黑体" w:cs="黑体"/>
          <w:snapToGrid/>
          <w:color w:val="000000"/>
          <w:kern w:val="0"/>
          <w:sz w:val="32"/>
          <w:szCs w:val="32"/>
          <w:lang w:val="zh-CN" w:eastAsia="zh-CN"/>
        </w:rPr>
        <w:t xml:space="preserve">第三章 </w:t>
      </w:r>
      <w:r>
        <w:rPr>
          <w:rFonts w:hint="eastAsia" w:ascii="黑体" w:hAnsi="黑体" w:eastAsia="黑体" w:cs="黑体"/>
          <w:snapToGrid/>
          <w:color w:val="000000"/>
          <w:kern w:val="0"/>
          <w:sz w:val="32"/>
          <w:szCs w:val="32"/>
          <w:lang w:val="en-US" w:eastAsia="zh-CN"/>
        </w:rPr>
        <w:t xml:space="preserve"> </w:t>
      </w:r>
      <w:r>
        <w:rPr>
          <w:rFonts w:hint="eastAsia" w:ascii="黑体" w:hAnsi="黑体" w:eastAsia="黑体" w:cs="黑体"/>
          <w:snapToGrid/>
          <w:color w:val="000000"/>
          <w:kern w:val="0"/>
          <w:sz w:val="32"/>
          <w:szCs w:val="32"/>
          <w:lang w:val="zh-CN" w:eastAsia="zh-CN"/>
        </w:rPr>
        <w:t>资格认定</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right="0" w:firstLine="640" w:firstLineChars="200"/>
        <w:textAlignment w:val="baseline"/>
        <w:rPr>
          <w:rFonts w:hint="eastAsia" w:ascii="黑体" w:hAnsi="黑体" w:eastAsia="黑体" w:cs="黑体"/>
          <w:snapToGrid/>
          <w:color w:val="000000"/>
          <w:kern w:val="0"/>
          <w:sz w:val="32"/>
          <w:szCs w:val="32"/>
          <w:lang w:val="zh-CN" w:eastAsia="zh-CN"/>
        </w:rPr>
      </w:pPr>
    </w:p>
    <w:p>
      <w:pPr>
        <w:keepNext w:val="0"/>
        <w:keepLines w:val="0"/>
        <w:pageBreakBefore w:val="0"/>
        <w:widowControl w:val="0"/>
        <w:kinsoku w:val="0"/>
        <w:wordWrap/>
        <w:overflowPunct/>
        <w:topLinePunct w:val="0"/>
        <w:autoSpaceDE w:val="0"/>
        <w:autoSpaceDN w:val="0"/>
        <w:bidi w:val="0"/>
        <w:adjustRightInd w:val="0"/>
        <w:snapToGrid w:val="0"/>
        <w:spacing w:line="600" w:lineRule="exact"/>
        <w:ind w:right="0" w:firstLine="640" w:firstLineChars="200"/>
        <w:textAlignment w:val="baseline"/>
        <w:rPr>
          <w:rFonts w:hint="eastAsia" w:ascii="仿宋_GB2312" w:hAnsi="仿宋_GB2312" w:eastAsia="仿宋_GB2312" w:cs="仿宋_GB2312"/>
          <w:sz w:val="32"/>
          <w:szCs w:val="32"/>
        </w:rPr>
      </w:pPr>
      <w:r>
        <w:rPr>
          <w:rFonts w:hint="eastAsia" w:ascii="黑体" w:hAnsi="黑体" w:eastAsia="黑体" w:cs="黑体"/>
          <w:snapToGrid/>
          <w:color w:val="000000"/>
          <w:kern w:val="0"/>
          <w:sz w:val="32"/>
          <w:szCs w:val="32"/>
          <w:lang w:val="zh-CN" w:eastAsia="zh-CN"/>
        </w:rPr>
        <w:t>第七条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本《办法》规定的被征地农民由村（居）民委员会根据其失去土地的具体情况提名造册，并经村（居）民代表大会讨论通过后，对拟纳入保障范围的人员，村（社区）进行公示</w:t>
      </w:r>
      <w:r>
        <w:rPr>
          <w:rFonts w:hint="eastAsia" w:ascii="宋体" w:hAnsi="宋体" w:eastAsia="宋体" w:cs="宋体"/>
          <w:sz w:val="32"/>
          <w:szCs w:val="32"/>
        </w:rPr>
        <w:t>7</w:t>
      </w:r>
      <w:r>
        <w:rPr>
          <w:rFonts w:hint="eastAsia" w:ascii="仿宋_GB2312" w:hAnsi="仿宋_GB2312" w:eastAsia="仿宋_GB2312" w:cs="仿宋_GB2312"/>
          <w:sz w:val="32"/>
          <w:szCs w:val="32"/>
        </w:rPr>
        <w:t>日，公示无异议后提交乡（镇）人民政府进行初审，乡（镇）人民政府在本级公示</w:t>
      </w:r>
      <w:r>
        <w:rPr>
          <w:rFonts w:hint="eastAsia" w:ascii="宋体" w:hAnsi="宋体" w:eastAsia="宋体" w:cs="宋体"/>
          <w:sz w:val="32"/>
          <w:szCs w:val="32"/>
        </w:rPr>
        <w:t>7</w:t>
      </w:r>
      <w:r>
        <w:rPr>
          <w:rFonts w:hint="eastAsia" w:ascii="仿宋_GB2312" w:hAnsi="仿宋_GB2312" w:eastAsia="仿宋_GB2312" w:cs="仿宋_GB2312"/>
          <w:sz w:val="32"/>
          <w:szCs w:val="32"/>
        </w:rPr>
        <w:t>日。</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right="0" w:firstLine="640" w:firstLineChars="200"/>
        <w:textAlignment w:val="baseline"/>
        <w:rPr>
          <w:rFonts w:hint="eastAsia" w:ascii="仿宋_GB2312" w:hAnsi="仿宋_GB2312" w:eastAsia="仿宋_GB2312" w:cs="仿宋_GB2312"/>
          <w:sz w:val="32"/>
          <w:szCs w:val="32"/>
        </w:rPr>
      </w:pPr>
      <w:r>
        <w:rPr>
          <w:rFonts w:hint="eastAsia" w:ascii="黑体" w:hAnsi="黑体" w:eastAsia="黑体" w:cs="黑体"/>
          <w:snapToGrid/>
          <w:color w:val="000000"/>
          <w:kern w:val="0"/>
          <w:sz w:val="32"/>
          <w:szCs w:val="32"/>
          <w:lang w:val="zh-CN" w:eastAsia="zh-CN"/>
        </w:rPr>
        <w:t>第八条</w:t>
      </w:r>
      <w:r>
        <w:rPr>
          <w:rFonts w:hint="eastAsia" w:ascii="黑体" w:hAnsi="黑体" w:eastAsia="黑体" w:cs="黑体"/>
          <w:snapToGrid/>
          <w:color w:val="000000"/>
          <w:kern w:val="0"/>
          <w:sz w:val="32"/>
          <w:szCs w:val="32"/>
          <w:lang w:val="en-US" w:eastAsia="zh-CN"/>
        </w:rPr>
        <w:t xml:space="preserve"> </w:t>
      </w:r>
      <w:r>
        <w:rPr>
          <w:rFonts w:hint="eastAsia" w:ascii="仿宋_GB2312" w:hAnsi="仿宋_GB2312" w:eastAsia="仿宋_GB2312" w:cs="仿宋_GB2312"/>
          <w:sz w:val="32"/>
          <w:szCs w:val="32"/>
        </w:rPr>
        <w:t xml:space="preserve"> 被征地农民公示期满且无异议后，由各乡（镇）负责对被征地农民的《被征地人员情况调查表》、户口本、身份证、土地承包合同、土地延包证、土地确权证等证件进行初审，初审通过后将相关初审证件的复印件形成个人信息材料并装订成册，由乡（镇）主要领导签署意见后上报县自然资源局、县农业农村局、主体征收部门进行审核并签署会签意见，后交县被征地农民基本养老保障政策领导小组办公室复核认定。</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right="0" w:firstLine="640" w:firstLineChars="200"/>
        <w:textAlignment w:val="baseline"/>
        <w:rPr>
          <w:rFonts w:hint="eastAsia" w:ascii="仿宋_GB2312" w:hAnsi="仿宋_GB2312" w:eastAsia="仿宋_GB2312" w:cs="仿宋_GB2312"/>
          <w:sz w:val="32"/>
          <w:szCs w:val="32"/>
        </w:rPr>
      </w:pPr>
      <w:r>
        <w:rPr>
          <w:rFonts w:hint="eastAsia" w:ascii="黑体" w:hAnsi="黑体" w:eastAsia="黑体" w:cs="黑体"/>
          <w:snapToGrid/>
          <w:color w:val="000000"/>
          <w:kern w:val="0"/>
          <w:sz w:val="32"/>
          <w:szCs w:val="32"/>
          <w:lang w:val="zh-CN" w:eastAsia="zh-CN"/>
        </w:rPr>
        <w:t>第九条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被征地农民基本养老保障政策领导小组办公室对被征地农民信息材料复核认定合格后发放《失地农民养老保障证》，并由被征地农民基本养老保障政策领导小组办公室根据复核结果整理纳入保障范围的被征地农民花名册。</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right="0" w:firstLine="640" w:firstLineChars="200"/>
        <w:textAlignment w:val="baseline"/>
        <w:rPr>
          <w:rFonts w:hint="eastAsia" w:ascii="仿宋_GB2312" w:hAnsi="仿宋_GB2312" w:eastAsia="仿宋_GB2312" w:cs="仿宋_GB2312"/>
          <w:sz w:val="32"/>
          <w:szCs w:val="32"/>
        </w:rPr>
      </w:pPr>
      <w:r>
        <w:rPr>
          <w:rFonts w:hint="eastAsia" w:ascii="黑体" w:hAnsi="黑体" w:eastAsia="黑体" w:cs="黑体"/>
          <w:snapToGrid/>
          <w:color w:val="000000"/>
          <w:kern w:val="0"/>
          <w:sz w:val="32"/>
          <w:szCs w:val="32"/>
          <w:lang w:val="zh-CN" w:eastAsia="zh-CN"/>
        </w:rPr>
        <w:t>第十条</w:t>
      </w:r>
      <w:r>
        <w:rPr>
          <w:rFonts w:hint="eastAsia" w:ascii="黑体" w:hAnsi="黑体" w:eastAsia="黑体" w:cs="黑体"/>
          <w:snapToGrid/>
          <w:color w:val="000000"/>
          <w:kern w:val="0"/>
          <w:sz w:val="32"/>
          <w:szCs w:val="32"/>
          <w:lang w:val="en-US" w:eastAsia="zh-CN"/>
        </w:rPr>
        <w:t xml:space="preserve"> </w:t>
      </w:r>
      <w:r>
        <w:rPr>
          <w:rFonts w:hint="eastAsia" w:ascii="仿宋_GB2312" w:hAnsi="仿宋_GB2312" w:eastAsia="仿宋_GB2312" w:cs="仿宋_GB2312"/>
          <w:sz w:val="32"/>
          <w:szCs w:val="32"/>
        </w:rPr>
        <w:t xml:space="preserve"> 被征地农民基本养老保障政策领导小组办公室根据被纳入保障范围的被征地农民花名册形成文件，报经县人民政府分管领导审阅后提交县政府常务会讨论审批，审批意见通过后交县财政局、县人力资源和社会保障局执行，交县农业农村局、县自然资源局备案。</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right="0"/>
        <w:textAlignment w:val="baseline"/>
        <w:rPr>
          <w:rFonts w:hint="eastAsia" w:ascii="仿宋_GB2312" w:hAnsi="仿宋_GB2312" w:eastAsia="仿宋_GB2312" w:cs="仿宋_GB2312"/>
          <w:sz w:val="32"/>
          <w:szCs w:val="32"/>
        </w:rPr>
      </w:pPr>
    </w:p>
    <w:p>
      <w:pPr>
        <w:keepNext w:val="0"/>
        <w:keepLines w:val="0"/>
        <w:pageBreakBefore w:val="0"/>
        <w:widowControl w:val="0"/>
        <w:kinsoku w:val="0"/>
        <w:wordWrap/>
        <w:overflowPunct/>
        <w:topLinePunct w:val="0"/>
        <w:autoSpaceDE w:val="0"/>
        <w:autoSpaceDN w:val="0"/>
        <w:bidi w:val="0"/>
        <w:adjustRightInd w:val="0"/>
        <w:snapToGrid w:val="0"/>
        <w:spacing w:line="600" w:lineRule="exact"/>
        <w:ind w:right="0"/>
        <w:jc w:val="center"/>
        <w:textAlignment w:val="baseline"/>
        <w:rPr>
          <w:rFonts w:hint="eastAsia" w:ascii="黑体" w:hAnsi="黑体" w:eastAsia="黑体" w:cs="黑体"/>
          <w:snapToGrid/>
          <w:color w:val="000000"/>
          <w:kern w:val="0"/>
          <w:sz w:val="32"/>
          <w:szCs w:val="32"/>
          <w:lang w:val="zh-CN" w:eastAsia="zh-CN"/>
        </w:rPr>
      </w:pPr>
      <w:r>
        <w:rPr>
          <w:rFonts w:hint="eastAsia" w:ascii="黑体" w:hAnsi="黑体" w:eastAsia="黑体" w:cs="黑体"/>
          <w:snapToGrid/>
          <w:color w:val="000000"/>
          <w:kern w:val="0"/>
          <w:sz w:val="32"/>
          <w:szCs w:val="32"/>
          <w:lang w:val="zh-CN" w:eastAsia="zh-CN"/>
        </w:rPr>
        <w:t xml:space="preserve">第四章 </w:t>
      </w:r>
      <w:r>
        <w:rPr>
          <w:rFonts w:hint="eastAsia" w:ascii="黑体" w:hAnsi="黑体" w:eastAsia="黑体" w:cs="黑体"/>
          <w:snapToGrid/>
          <w:color w:val="000000"/>
          <w:kern w:val="0"/>
          <w:sz w:val="32"/>
          <w:szCs w:val="32"/>
          <w:lang w:val="en-US" w:eastAsia="zh-CN"/>
        </w:rPr>
        <w:t xml:space="preserve"> </w:t>
      </w:r>
      <w:r>
        <w:rPr>
          <w:rFonts w:hint="eastAsia" w:ascii="黑体" w:hAnsi="黑体" w:eastAsia="黑体" w:cs="黑体"/>
          <w:snapToGrid/>
          <w:color w:val="000000"/>
          <w:kern w:val="0"/>
          <w:sz w:val="32"/>
          <w:szCs w:val="32"/>
          <w:lang w:val="zh-CN" w:eastAsia="zh-CN"/>
        </w:rPr>
        <w:t>补助政策</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right="0"/>
        <w:textAlignment w:val="baseline"/>
        <w:rPr>
          <w:rFonts w:hint="eastAsia" w:ascii="仿宋_GB2312" w:hAnsi="仿宋_GB2312" w:eastAsia="仿宋_GB2312" w:cs="仿宋_GB2312"/>
          <w:sz w:val="32"/>
          <w:szCs w:val="32"/>
        </w:rPr>
      </w:pPr>
    </w:p>
    <w:p>
      <w:pPr>
        <w:keepNext w:val="0"/>
        <w:keepLines w:val="0"/>
        <w:pageBreakBefore w:val="0"/>
        <w:widowControl w:val="0"/>
        <w:kinsoku w:val="0"/>
        <w:wordWrap/>
        <w:overflowPunct/>
        <w:topLinePunct w:val="0"/>
        <w:autoSpaceDE w:val="0"/>
        <w:autoSpaceDN w:val="0"/>
        <w:bidi w:val="0"/>
        <w:adjustRightInd w:val="0"/>
        <w:snapToGrid w:val="0"/>
        <w:spacing w:line="600" w:lineRule="exact"/>
        <w:ind w:right="0" w:firstLine="640" w:firstLineChars="200"/>
        <w:textAlignment w:val="baseline"/>
        <w:rPr>
          <w:rFonts w:hint="eastAsia" w:ascii="仿宋_GB2312" w:hAnsi="仿宋_GB2312" w:eastAsia="仿宋_GB2312" w:cs="仿宋_GB2312"/>
          <w:sz w:val="32"/>
          <w:szCs w:val="32"/>
        </w:rPr>
      </w:pPr>
      <w:r>
        <w:rPr>
          <w:rFonts w:hint="eastAsia" w:ascii="黑体" w:hAnsi="黑体" w:eastAsia="黑体" w:cs="黑体"/>
          <w:snapToGrid/>
          <w:color w:val="000000"/>
          <w:kern w:val="0"/>
          <w:sz w:val="32"/>
          <w:szCs w:val="32"/>
          <w:lang w:val="zh-CN" w:eastAsia="zh-CN"/>
        </w:rPr>
        <w:t xml:space="preserve">第十一条 </w:t>
      </w:r>
      <w:r>
        <w:rPr>
          <w:rFonts w:hint="eastAsia" w:ascii="黑体" w:hAnsi="黑体" w:eastAsia="黑体" w:cs="黑体"/>
          <w:snapToGrid/>
          <w:color w:val="000000"/>
          <w:kern w:val="0"/>
          <w:sz w:val="32"/>
          <w:szCs w:val="32"/>
          <w:lang w:val="en-US" w:eastAsia="zh-CN"/>
        </w:rPr>
        <w:t xml:space="preserve"> </w:t>
      </w:r>
      <w:r>
        <w:rPr>
          <w:rFonts w:hint="eastAsia" w:ascii="仿宋_GB2312" w:hAnsi="仿宋_GB2312" w:eastAsia="仿宋_GB2312" w:cs="仿宋_GB2312"/>
          <w:sz w:val="32"/>
          <w:szCs w:val="32"/>
        </w:rPr>
        <w:t>自本《办法》实施之日起，被征地农民应按照基本养老保险制度规定，自愿选择参加城乡居民基本养老保险或城镇职工基本养老保险后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才能享受相应的参保缴费补助。</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right="0" w:firstLine="640" w:firstLineChars="200"/>
        <w:textAlignment w:val="baseline"/>
        <w:rPr>
          <w:rFonts w:hint="eastAsia" w:ascii="仿宋_GB2312" w:hAnsi="仿宋_GB2312" w:eastAsia="仿宋_GB2312" w:cs="仿宋_GB2312"/>
          <w:sz w:val="32"/>
          <w:szCs w:val="32"/>
        </w:rPr>
      </w:pPr>
      <w:r>
        <w:rPr>
          <w:rFonts w:hint="eastAsia" w:ascii="黑体" w:hAnsi="黑体" w:eastAsia="黑体" w:cs="黑体"/>
          <w:snapToGrid/>
          <w:color w:val="000000"/>
          <w:kern w:val="0"/>
          <w:sz w:val="32"/>
          <w:szCs w:val="32"/>
          <w:lang w:val="zh-CN" w:eastAsia="zh-CN"/>
        </w:rPr>
        <w:t>第十二条</w:t>
      </w:r>
      <w:r>
        <w:rPr>
          <w:rFonts w:hint="eastAsia" w:ascii="黑体" w:hAnsi="黑体" w:eastAsia="黑体" w:cs="黑体"/>
          <w:snapToGrid/>
          <w:color w:val="000000"/>
          <w:kern w:val="0"/>
          <w:sz w:val="32"/>
          <w:szCs w:val="32"/>
          <w:lang w:val="en-US" w:eastAsia="zh-CN"/>
        </w:rPr>
        <w:t xml:space="preserve"> </w:t>
      </w:r>
      <w:r>
        <w:rPr>
          <w:rFonts w:hint="eastAsia" w:ascii="仿宋_GB2312" w:hAnsi="仿宋_GB2312" w:eastAsia="仿宋_GB2312" w:cs="仿宋_GB2312"/>
          <w:sz w:val="32"/>
          <w:szCs w:val="32"/>
        </w:rPr>
        <w:t xml:space="preserve"> 政府补助所需资金从被征地农民基本养老保障专项资金中列支。县人民政府在征收土地过程中按照省政府批准的征地统一年产值补偿标准中划分的区域征收被征地农民基本养老保障专项资金，专项用于基本养老保障。征收标准为：一类区每亩征收不低于</w:t>
      </w:r>
      <w:r>
        <w:rPr>
          <w:rFonts w:hint="eastAsia" w:ascii="宋体" w:hAnsi="宋体" w:eastAsia="宋体" w:cs="宋体"/>
          <w:sz w:val="32"/>
          <w:szCs w:val="32"/>
        </w:rPr>
        <w:t>3</w:t>
      </w:r>
      <w:r>
        <w:rPr>
          <w:rFonts w:hint="eastAsia" w:ascii="仿宋_GB2312" w:hAnsi="仿宋_GB2312" w:eastAsia="仿宋_GB2312" w:cs="仿宋_GB2312"/>
          <w:sz w:val="32"/>
          <w:szCs w:val="32"/>
        </w:rPr>
        <w:t>万元、二类区每亩征收不低于</w:t>
      </w:r>
      <w:r>
        <w:rPr>
          <w:rFonts w:hint="eastAsia" w:ascii="宋体" w:hAnsi="宋体" w:eastAsia="宋体" w:cs="宋体"/>
          <w:sz w:val="32"/>
          <w:szCs w:val="32"/>
        </w:rPr>
        <w:t>2.5</w:t>
      </w:r>
      <w:r>
        <w:rPr>
          <w:rFonts w:hint="eastAsia" w:ascii="仿宋_GB2312" w:hAnsi="仿宋_GB2312" w:eastAsia="仿宋_GB2312" w:cs="仿宋_GB2312"/>
          <w:sz w:val="32"/>
          <w:szCs w:val="32"/>
        </w:rPr>
        <w:t>万元、三类区及以上每亩征收不低于</w:t>
      </w:r>
      <w:r>
        <w:rPr>
          <w:rFonts w:hint="eastAsia" w:ascii="宋体" w:hAnsi="宋体" w:eastAsia="宋体" w:cs="宋体"/>
          <w:sz w:val="32"/>
          <w:szCs w:val="32"/>
        </w:rPr>
        <w:t>2</w:t>
      </w:r>
      <w:r>
        <w:rPr>
          <w:rFonts w:hint="eastAsia" w:ascii="仿宋_GB2312" w:hAnsi="仿宋_GB2312" w:eastAsia="仿宋_GB2312" w:cs="仿宋_GB2312"/>
          <w:sz w:val="32"/>
          <w:szCs w:val="32"/>
        </w:rPr>
        <w:t>万元。</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right="0" w:firstLine="640" w:firstLineChars="200"/>
        <w:textAlignment w:val="baseline"/>
        <w:rPr>
          <w:rFonts w:hint="eastAsia" w:ascii="仿宋_GB2312" w:hAnsi="仿宋_GB2312" w:eastAsia="仿宋_GB2312" w:cs="仿宋_GB2312"/>
          <w:sz w:val="32"/>
          <w:szCs w:val="32"/>
        </w:rPr>
      </w:pPr>
      <w:r>
        <w:rPr>
          <w:rFonts w:hint="eastAsia" w:ascii="黑体" w:hAnsi="黑体" w:eastAsia="黑体" w:cs="黑体"/>
          <w:snapToGrid/>
          <w:color w:val="000000"/>
          <w:kern w:val="0"/>
          <w:sz w:val="32"/>
          <w:szCs w:val="32"/>
          <w:lang w:val="zh-CN" w:eastAsia="zh-CN"/>
        </w:rPr>
        <w:t>第十三条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政府补助标准现定为每人每年</w:t>
      </w:r>
      <w:r>
        <w:rPr>
          <w:rFonts w:hint="eastAsia" w:ascii="宋体" w:hAnsi="宋体" w:eastAsia="宋体" w:cs="宋体"/>
          <w:sz w:val="32"/>
          <w:szCs w:val="32"/>
        </w:rPr>
        <w:t>2000</w:t>
      </w:r>
      <w:r>
        <w:rPr>
          <w:rFonts w:hint="eastAsia" w:ascii="仿宋_GB2312" w:hAnsi="仿宋_GB2312" w:eastAsia="仿宋_GB2312" w:cs="仿宋_GB2312"/>
          <w:sz w:val="32"/>
          <w:szCs w:val="32"/>
        </w:rPr>
        <w:t>元，县人民政府可根据经济社会发展水平、物价指数、被征地农民养老保障专项资金结余情况等适时调整补助标准。</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right="0" w:firstLine="640" w:firstLineChars="200"/>
        <w:textAlignment w:val="baseline"/>
        <w:rPr>
          <w:rFonts w:hint="eastAsia" w:ascii="仿宋_GB2312" w:hAnsi="仿宋_GB2312" w:eastAsia="仿宋_GB2312" w:cs="仿宋_GB2312"/>
          <w:sz w:val="32"/>
          <w:szCs w:val="32"/>
        </w:rPr>
      </w:pPr>
      <w:r>
        <w:rPr>
          <w:rFonts w:hint="eastAsia" w:ascii="黑体" w:hAnsi="黑体" w:eastAsia="黑体" w:cs="黑体"/>
          <w:snapToGrid/>
          <w:color w:val="000000"/>
          <w:kern w:val="0"/>
          <w:sz w:val="32"/>
          <w:szCs w:val="32"/>
          <w:lang w:val="zh-CN" w:eastAsia="zh-CN"/>
        </w:rPr>
        <w:t>第十四条</w:t>
      </w:r>
      <w:r>
        <w:rPr>
          <w:rFonts w:hint="eastAsia" w:ascii="黑体" w:hAnsi="黑体" w:eastAsia="黑体" w:cs="黑体"/>
          <w:snapToGrid/>
          <w:color w:val="000000"/>
          <w:kern w:val="0"/>
          <w:sz w:val="32"/>
          <w:szCs w:val="32"/>
          <w:lang w:val="en-US" w:eastAsia="zh-CN"/>
        </w:rPr>
        <w:t xml:space="preserve"> </w:t>
      </w:r>
      <w:r>
        <w:rPr>
          <w:rFonts w:hint="eastAsia" w:ascii="仿宋_GB2312" w:hAnsi="仿宋_GB2312" w:eastAsia="仿宋_GB2312" w:cs="仿宋_GB2312"/>
          <w:sz w:val="32"/>
          <w:szCs w:val="32"/>
        </w:rPr>
        <w:t xml:space="preserve"> 补助标准</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（一）被征地农民参加基本养老保险后，每年可享受</w:t>
      </w:r>
      <w:r>
        <w:rPr>
          <w:rFonts w:hint="eastAsia" w:ascii="宋体" w:hAnsi="宋体" w:eastAsia="宋体" w:cs="宋体"/>
          <w:sz w:val="32"/>
          <w:szCs w:val="32"/>
        </w:rPr>
        <w:t>1</w:t>
      </w:r>
      <w:r>
        <w:rPr>
          <w:rFonts w:hint="eastAsia" w:ascii="仿宋_GB2312" w:hAnsi="仿宋_GB2312" w:eastAsia="仿宋_GB2312" w:cs="仿宋_GB2312"/>
          <w:sz w:val="32"/>
          <w:szCs w:val="32"/>
        </w:rPr>
        <w:t>次定额参保缴费补助，累计补助年限不超过</w:t>
      </w:r>
      <w:r>
        <w:rPr>
          <w:rFonts w:hint="eastAsia" w:ascii="宋体" w:hAnsi="宋体" w:eastAsia="宋体" w:cs="宋体"/>
          <w:sz w:val="32"/>
          <w:szCs w:val="32"/>
        </w:rPr>
        <w:t>15</w:t>
      </w:r>
      <w:r>
        <w:rPr>
          <w:rFonts w:hint="eastAsia" w:ascii="仿宋_GB2312" w:hAnsi="仿宋_GB2312" w:eastAsia="仿宋_GB2312" w:cs="仿宋_GB2312"/>
          <w:sz w:val="32"/>
          <w:szCs w:val="32"/>
        </w:rPr>
        <w:t>年；</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（二）被征地农民不参加基本养老保险的，不享受参保缴费补助。</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right="0" w:firstLine="640" w:firstLineChars="200"/>
        <w:textAlignment w:val="baseline"/>
        <w:rPr>
          <w:rFonts w:hint="eastAsia" w:ascii="仿宋_GB2312" w:hAnsi="仿宋_GB2312" w:eastAsia="仿宋_GB2312" w:cs="仿宋_GB2312"/>
          <w:sz w:val="32"/>
          <w:szCs w:val="32"/>
        </w:rPr>
      </w:pPr>
      <w:r>
        <w:rPr>
          <w:rFonts w:hint="eastAsia" w:ascii="黑体" w:hAnsi="黑体" w:eastAsia="黑体" w:cs="黑体"/>
          <w:snapToGrid/>
          <w:color w:val="000000"/>
          <w:kern w:val="0"/>
          <w:sz w:val="32"/>
          <w:szCs w:val="32"/>
          <w:lang w:val="zh-CN" w:eastAsia="zh-CN"/>
        </w:rPr>
        <w:t>第十五条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补助方法</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（一）选择参加城乡居民基本养老保险的被征地农民：</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自本《办法》实施之日起，未按照《临沧市被征地农民基本养老保障实施办法（试行）》（临沧市人民政府公告</w:t>
      </w:r>
      <w:r>
        <w:rPr>
          <w:rFonts w:hint="eastAsia" w:ascii="宋体" w:hAnsi="宋体" w:eastAsia="宋体" w:cs="宋体"/>
          <w:sz w:val="32"/>
          <w:szCs w:val="32"/>
        </w:rPr>
        <w:t>2009</w:t>
      </w:r>
      <w:r>
        <w:rPr>
          <w:rFonts w:hint="eastAsia" w:ascii="仿宋_GB2312" w:hAnsi="仿宋_GB2312" w:eastAsia="仿宋_GB2312" w:cs="仿宋_GB2312"/>
          <w:sz w:val="32"/>
          <w:szCs w:val="32"/>
        </w:rPr>
        <w:t>年第三号）参保的被征地农民，未年满</w:t>
      </w:r>
      <w:r>
        <w:rPr>
          <w:rFonts w:hint="eastAsia" w:ascii="宋体" w:hAnsi="宋体" w:eastAsia="宋体" w:cs="宋体"/>
          <w:sz w:val="32"/>
          <w:szCs w:val="32"/>
        </w:rPr>
        <w:t>60</w:t>
      </w:r>
      <w:r>
        <w:rPr>
          <w:rFonts w:hint="eastAsia" w:ascii="仿宋_GB2312" w:hAnsi="仿宋_GB2312" w:eastAsia="仿宋_GB2312" w:cs="仿宋_GB2312"/>
          <w:sz w:val="32"/>
          <w:szCs w:val="32"/>
        </w:rPr>
        <w:t>周岁的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在履行缴费义务后，按年享受参保缴费补助，参保缴费补助记入个人账户；参保人符合待遇领取条件时，累计享受的参保缴费补助仍未达到</w:t>
      </w:r>
      <w:r>
        <w:rPr>
          <w:rFonts w:hint="eastAsia" w:ascii="宋体" w:hAnsi="宋体" w:eastAsia="宋体" w:cs="宋体"/>
          <w:sz w:val="32"/>
          <w:szCs w:val="32"/>
        </w:rPr>
        <w:t>15</w:t>
      </w:r>
      <w:r>
        <w:rPr>
          <w:rFonts w:hint="eastAsia" w:ascii="仿宋_GB2312" w:hAnsi="仿宋_GB2312" w:eastAsia="仿宋_GB2312" w:cs="仿宋_GB2312"/>
          <w:sz w:val="32"/>
          <w:szCs w:val="32"/>
        </w:rPr>
        <w:t>年的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应一次性补足至</w:t>
      </w:r>
      <w:r>
        <w:rPr>
          <w:rFonts w:hint="eastAsia" w:ascii="宋体" w:hAnsi="宋体" w:eastAsia="宋体" w:cs="宋体"/>
          <w:sz w:val="32"/>
          <w:szCs w:val="32"/>
        </w:rPr>
        <w:t>15</w:t>
      </w:r>
      <w:r>
        <w:rPr>
          <w:rFonts w:hint="eastAsia" w:ascii="仿宋_GB2312" w:hAnsi="仿宋_GB2312" w:eastAsia="仿宋_GB2312" w:cs="仿宋_GB2312"/>
          <w:sz w:val="32"/>
          <w:szCs w:val="32"/>
        </w:rPr>
        <w:t>年，并按照城乡居民基本养老保险待遇计发办法核定待遇标准；</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已年满</w:t>
      </w:r>
      <w:r>
        <w:rPr>
          <w:rFonts w:hint="eastAsia" w:ascii="宋体" w:hAnsi="宋体" w:eastAsia="宋体" w:cs="宋体"/>
          <w:sz w:val="32"/>
          <w:szCs w:val="32"/>
        </w:rPr>
        <w:t>60</w:t>
      </w:r>
      <w:r>
        <w:rPr>
          <w:rFonts w:hint="eastAsia" w:ascii="仿宋_GB2312" w:hAnsi="仿宋_GB2312" w:eastAsia="仿宋_GB2312" w:cs="仿宋_GB2312"/>
          <w:sz w:val="32"/>
          <w:szCs w:val="32"/>
        </w:rPr>
        <w:t>周岁的，一次性享受</w:t>
      </w:r>
      <w:r>
        <w:rPr>
          <w:rFonts w:hint="eastAsia" w:ascii="宋体" w:hAnsi="宋体" w:eastAsia="宋体" w:cs="宋体"/>
          <w:sz w:val="32"/>
          <w:szCs w:val="32"/>
        </w:rPr>
        <w:t>15</w:t>
      </w:r>
      <w:r>
        <w:rPr>
          <w:rFonts w:hint="eastAsia" w:ascii="仿宋_GB2312" w:hAnsi="仿宋_GB2312" w:eastAsia="仿宋_GB2312" w:cs="仿宋_GB2312"/>
          <w:sz w:val="32"/>
          <w:szCs w:val="32"/>
        </w:rPr>
        <w:t>年的参保缴费补助，参保缴费补助记入个人账户，按照城乡居民基本养老保险个人账户养老金计发办法核定待遇标准，并与已领取的城乡居民基本养老保险基础养老金叠加享受；</w:t>
      </w:r>
    </w:p>
    <w:p>
      <w:pPr>
        <w:keepNext w:val="0"/>
        <w:keepLines w:val="0"/>
        <w:pageBreakBefore w:val="0"/>
        <w:widowControl w:val="0"/>
        <w:numPr>
          <w:ilvl w:val="0"/>
          <w:numId w:val="1"/>
        </w:numPr>
        <w:kinsoku w:val="0"/>
        <w:wordWrap/>
        <w:overflowPunct/>
        <w:topLinePunct w:val="0"/>
        <w:autoSpaceDE w:val="0"/>
        <w:autoSpaceDN w:val="0"/>
        <w:bidi w:val="0"/>
        <w:adjustRightInd w:val="0"/>
        <w:snapToGrid w:val="0"/>
        <w:spacing w:line="600" w:lineRule="exact"/>
        <w:ind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本《办法》实施之日起，已按照《临沧市被征地农民基本养老保障实施办法（试行）》参保的被征地农民，将其已缴纳的个人缴费、集体补助和享受的政府补贴视为个人账户累积资金，若其已享受的政府补贴低于本《办法》规定的</w:t>
      </w:r>
      <w:r>
        <w:rPr>
          <w:rFonts w:hint="eastAsia" w:ascii="宋体" w:hAnsi="宋体" w:eastAsia="宋体" w:cs="宋体"/>
          <w:sz w:val="32"/>
          <w:szCs w:val="32"/>
        </w:rPr>
        <w:t>15</w:t>
      </w:r>
      <w:r>
        <w:rPr>
          <w:rFonts w:hint="eastAsia" w:ascii="仿宋_GB2312" w:hAnsi="仿宋_GB2312" w:eastAsia="仿宋_GB2312" w:cs="仿宋_GB2312"/>
          <w:sz w:val="32"/>
          <w:szCs w:val="32"/>
        </w:rPr>
        <w:t>年参保缴费补助总额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差额部分应予以一次性补足；以个人账户累积资金为基数，按照城乡居民基本养老保险个人账户养老金计发办法计算新待遇标准，若新待遇标准高于原待遇标准，个人账户累积资金全部记入城乡居民基本养老保险个人账户；若新待遇标准低于原待遇标准，按照原待遇标准</w:t>
      </w:r>
      <w:r>
        <w:rPr>
          <w:rFonts w:hint="eastAsia" w:ascii="宋体" w:hAnsi="宋体" w:eastAsia="宋体" w:cs="宋体"/>
          <w:sz w:val="32"/>
          <w:szCs w:val="32"/>
        </w:rPr>
        <w:t>×139</w:t>
      </w:r>
      <w:r>
        <w:rPr>
          <w:rFonts w:hint="eastAsia" w:ascii="仿宋_GB2312" w:hAnsi="仿宋_GB2312" w:eastAsia="仿宋_GB2312" w:cs="仿宋_GB2312"/>
          <w:sz w:val="32"/>
          <w:szCs w:val="32"/>
        </w:rPr>
        <w:t xml:space="preserve">重新核定个人账户累积资金，差额部分由专项资金予以一次性补足；核定后的个人账户累积资金，全部记入城乡居民基本养老保险个人账户，其中：男年满 </w:t>
      </w:r>
      <w:r>
        <w:rPr>
          <w:rFonts w:hint="eastAsia" w:ascii="宋体" w:hAnsi="宋体" w:eastAsia="宋体" w:cs="宋体"/>
          <w:sz w:val="32"/>
          <w:szCs w:val="32"/>
        </w:rPr>
        <w:t>60</w:t>
      </w:r>
      <w:r>
        <w:rPr>
          <w:rFonts w:hint="eastAsia" w:ascii="仿宋_GB2312" w:hAnsi="仿宋_GB2312" w:eastAsia="仿宋_GB2312" w:cs="仿宋_GB2312"/>
          <w:sz w:val="32"/>
          <w:szCs w:val="32"/>
        </w:rPr>
        <w:t>周岁及以上的，应扣除已领取的待遇总额；女年满</w:t>
      </w:r>
      <w:r>
        <w:rPr>
          <w:rFonts w:hint="eastAsia" w:ascii="宋体" w:hAnsi="宋体" w:eastAsia="宋体" w:cs="宋体"/>
          <w:sz w:val="32"/>
          <w:szCs w:val="32"/>
        </w:rPr>
        <w:t>60</w:t>
      </w:r>
      <w:r>
        <w:rPr>
          <w:rFonts w:hint="eastAsia" w:ascii="仿宋_GB2312" w:hAnsi="仿宋_GB2312" w:eastAsia="仿宋_GB2312" w:cs="仿宋_GB2312"/>
          <w:sz w:val="32"/>
          <w:szCs w:val="32"/>
        </w:rPr>
        <w:t>周岁及以上的，应扣除其年满</w:t>
      </w:r>
      <w:r>
        <w:rPr>
          <w:rFonts w:hint="eastAsia" w:ascii="宋体" w:hAnsi="宋体" w:eastAsia="宋体" w:cs="宋体"/>
          <w:sz w:val="32"/>
          <w:szCs w:val="32"/>
        </w:rPr>
        <w:t>60</w:t>
      </w:r>
      <w:r>
        <w:rPr>
          <w:rFonts w:hint="eastAsia" w:ascii="仿宋_GB2312" w:hAnsi="仿宋_GB2312" w:eastAsia="仿宋_GB2312" w:cs="仿宋_GB2312"/>
          <w:sz w:val="32"/>
          <w:szCs w:val="32"/>
        </w:rPr>
        <w:t>周岁次月至</w:t>
      </w:r>
      <w:r>
        <w:rPr>
          <w:rFonts w:hint="eastAsia" w:ascii="宋体" w:hAnsi="宋体" w:eastAsia="宋体" w:cs="宋体"/>
          <w:sz w:val="32"/>
          <w:szCs w:val="32"/>
        </w:rPr>
        <w:t>2018</w:t>
      </w:r>
      <w:r>
        <w:rPr>
          <w:rFonts w:hint="eastAsia" w:ascii="仿宋_GB2312" w:hAnsi="仿宋_GB2312" w:eastAsia="仿宋_GB2312" w:cs="仿宋_GB2312"/>
          <w:sz w:val="32"/>
          <w:szCs w:val="32"/>
        </w:rPr>
        <w:t>年</w:t>
      </w:r>
      <w:r>
        <w:rPr>
          <w:rFonts w:hint="eastAsia" w:ascii="宋体" w:hAnsi="宋体" w:eastAsia="宋体" w:cs="宋体"/>
          <w:sz w:val="32"/>
          <w:szCs w:val="32"/>
        </w:rPr>
        <w:t>12</w:t>
      </w:r>
      <w:r>
        <w:rPr>
          <w:rFonts w:hint="eastAsia" w:ascii="仿宋_GB2312" w:hAnsi="仿宋_GB2312" w:eastAsia="仿宋_GB2312" w:cs="仿宋_GB2312"/>
          <w:sz w:val="32"/>
          <w:szCs w:val="32"/>
        </w:rPr>
        <w:t>月期间领取的待遇总额；</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已按照《临沧市被征地农民基本养老保障实施办法（试行）》参保且年满</w:t>
      </w:r>
      <w:r>
        <w:rPr>
          <w:rFonts w:hint="eastAsia" w:ascii="宋体" w:hAnsi="宋体" w:eastAsia="宋体" w:cs="宋体"/>
          <w:sz w:val="32"/>
          <w:szCs w:val="32"/>
        </w:rPr>
        <w:t>55</w:t>
      </w:r>
      <w:r>
        <w:rPr>
          <w:rFonts w:hint="eastAsia" w:ascii="仿宋_GB2312" w:hAnsi="仿宋_GB2312" w:eastAsia="仿宋_GB2312" w:cs="仿宋_GB2312"/>
          <w:sz w:val="32"/>
          <w:szCs w:val="32"/>
        </w:rPr>
        <w:t>周岁未满</w:t>
      </w:r>
      <w:r>
        <w:rPr>
          <w:rFonts w:hint="eastAsia" w:ascii="宋体" w:hAnsi="宋体" w:eastAsia="宋体" w:cs="宋体"/>
          <w:sz w:val="32"/>
          <w:szCs w:val="32"/>
        </w:rPr>
        <w:t>60</w:t>
      </w:r>
      <w:r>
        <w:rPr>
          <w:rFonts w:hint="eastAsia" w:ascii="仿宋_GB2312" w:hAnsi="仿宋_GB2312" w:eastAsia="仿宋_GB2312" w:cs="仿宋_GB2312"/>
          <w:sz w:val="32"/>
          <w:szCs w:val="32"/>
        </w:rPr>
        <w:t>周岁已领取被征地农民基本养老保障 金的女性参保人，继续从原渠道发放被征地农民基本养老保障金至其年满</w:t>
      </w:r>
      <w:r>
        <w:rPr>
          <w:rFonts w:hint="eastAsia" w:ascii="宋体" w:hAnsi="宋体" w:eastAsia="宋体" w:cs="宋体"/>
          <w:sz w:val="32"/>
          <w:szCs w:val="32"/>
        </w:rPr>
        <w:t>60</w:t>
      </w:r>
      <w:r>
        <w:rPr>
          <w:rFonts w:hint="eastAsia" w:ascii="仿宋_GB2312" w:hAnsi="仿宋_GB2312" w:eastAsia="仿宋_GB2312" w:cs="仿宋_GB2312"/>
          <w:sz w:val="32"/>
          <w:szCs w:val="32"/>
        </w:rPr>
        <w:t>周岁当月，并按照城乡居民基本养老保险的规定缴费至其年满</w:t>
      </w:r>
      <w:r>
        <w:rPr>
          <w:rFonts w:hint="eastAsia" w:ascii="宋体" w:hAnsi="宋体" w:eastAsia="宋体" w:cs="宋体"/>
          <w:sz w:val="32"/>
          <w:szCs w:val="32"/>
        </w:rPr>
        <w:t>60</w:t>
      </w:r>
      <w:r>
        <w:rPr>
          <w:rFonts w:hint="eastAsia" w:ascii="仿宋_GB2312" w:hAnsi="仿宋_GB2312" w:eastAsia="仿宋_GB2312" w:cs="仿宋_GB2312"/>
          <w:sz w:val="32"/>
          <w:szCs w:val="32"/>
        </w:rPr>
        <w:t>周岁,从年满</w:t>
      </w:r>
      <w:r>
        <w:rPr>
          <w:rFonts w:hint="eastAsia" w:ascii="宋体" w:hAnsi="宋体" w:eastAsia="宋体" w:cs="宋体"/>
          <w:sz w:val="32"/>
          <w:szCs w:val="32"/>
        </w:rPr>
        <w:t>60</w:t>
      </w:r>
      <w:r>
        <w:rPr>
          <w:rFonts w:hint="eastAsia" w:ascii="仿宋_GB2312" w:hAnsi="仿宋_GB2312" w:eastAsia="仿宋_GB2312" w:cs="仿宋_GB2312"/>
          <w:sz w:val="32"/>
          <w:szCs w:val="32"/>
        </w:rPr>
        <w:t>的次月起按城乡居民基本养老保险待遇计发办法核定待遇标准，同时停止发放被征地农民基本养老保障金。</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（二）选择参加城镇职工基本养老保险的被征地农民：</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自本《办法》实施之日起，被征地农民以灵活就业人员身份参加城镇职工基本养老保险，未达到待遇领取条件的，按照规定缴费并提供缴费凭证后，每年可申请享受</w:t>
      </w:r>
      <w:r>
        <w:rPr>
          <w:rFonts w:hint="eastAsia" w:ascii="宋体" w:hAnsi="宋体" w:eastAsia="宋体" w:cs="宋体"/>
          <w:sz w:val="32"/>
          <w:szCs w:val="32"/>
        </w:rPr>
        <w:t>1</w:t>
      </w:r>
      <w:r>
        <w:rPr>
          <w:rFonts w:hint="eastAsia" w:ascii="仿宋_GB2312" w:hAnsi="仿宋_GB2312" w:eastAsia="仿宋_GB2312" w:cs="仿宋_GB2312"/>
          <w:sz w:val="32"/>
          <w:szCs w:val="32"/>
        </w:rPr>
        <w:t>次参保缴费补助；参保人符合待遇领取条件时，若《临沧市被征地农民基本养老保障实施办法（试行）》规定的参保缴费补助年限达不到</w:t>
      </w:r>
      <w:r>
        <w:rPr>
          <w:rFonts w:hint="eastAsia" w:ascii="宋体" w:hAnsi="宋体" w:eastAsia="宋体" w:cs="宋体"/>
          <w:sz w:val="32"/>
          <w:szCs w:val="32"/>
        </w:rPr>
        <w:t>15</w:t>
      </w:r>
      <w:r>
        <w:rPr>
          <w:rFonts w:hint="eastAsia" w:ascii="仿宋_GB2312" w:hAnsi="仿宋_GB2312" w:eastAsia="仿宋_GB2312" w:cs="仿宋_GB2312"/>
          <w:sz w:val="32"/>
          <w:szCs w:val="32"/>
        </w:rPr>
        <w:t>年的，应一次性补足至</w:t>
      </w:r>
      <w:r>
        <w:rPr>
          <w:rFonts w:hint="eastAsia" w:ascii="宋体" w:hAnsi="宋体" w:eastAsia="宋体" w:cs="宋体"/>
          <w:sz w:val="32"/>
          <w:szCs w:val="32"/>
        </w:rPr>
        <w:t>15</w:t>
      </w:r>
      <w:r>
        <w:rPr>
          <w:rFonts w:hint="eastAsia" w:ascii="仿宋_GB2312" w:hAnsi="仿宋_GB2312" w:eastAsia="仿宋_GB2312" w:cs="仿宋_GB2312"/>
          <w:sz w:val="32"/>
          <w:szCs w:val="32"/>
        </w:rPr>
        <w:t>年；灵活就业人员参保可给予补助、企业参保人员不予补助。</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自本《办法》实施之日起，已按灵活就业人员身份参加城镇职工基本养老保险并已领取养老金待遇的被征地农民，可以申请一次性享受</w:t>
      </w:r>
      <w:r>
        <w:rPr>
          <w:rFonts w:hint="eastAsia" w:ascii="宋体" w:hAnsi="宋体" w:eastAsia="宋体" w:cs="宋体"/>
          <w:sz w:val="32"/>
          <w:szCs w:val="32"/>
        </w:rPr>
        <w:t>15</w:t>
      </w:r>
      <w:r>
        <w:rPr>
          <w:rFonts w:hint="eastAsia" w:ascii="仿宋_GB2312" w:hAnsi="仿宋_GB2312" w:eastAsia="仿宋_GB2312" w:cs="仿宋_GB2312"/>
          <w:sz w:val="32"/>
          <w:szCs w:val="32"/>
        </w:rPr>
        <w:t>年的参保缴费补助。</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人员中已按照《临沧市被征地农民基本养老保障实施办法（试行）》参保的被征地农民，其个人缴费、集体补助扣除已领取的被征地农民基本养老保障金后一次性退还本人，同时终止被征地农民基本养老保障关系。</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right="0"/>
        <w:textAlignment w:val="baseline"/>
        <w:rPr>
          <w:rFonts w:hint="eastAsia" w:ascii="仿宋_GB2312" w:hAnsi="仿宋_GB2312" w:eastAsia="仿宋_GB2312" w:cs="仿宋_GB2312"/>
          <w:sz w:val="32"/>
          <w:szCs w:val="32"/>
        </w:rPr>
      </w:pPr>
    </w:p>
    <w:p>
      <w:pPr>
        <w:keepNext w:val="0"/>
        <w:keepLines w:val="0"/>
        <w:pageBreakBefore w:val="0"/>
        <w:widowControl w:val="0"/>
        <w:kinsoku w:val="0"/>
        <w:wordWrap/>
        <w:overflowPunct/>
        <w:topLinePunct w:val="0"/>
        <w:autoSpaceDE w:val="0"/>
        <w:autoSpaceDN w:val="0"/>
        <w:bidi w:val="0"/>
        <w:adjustRightInd w:val="0"/>
        <w:snapToGrid w:val="0"/>
        <w:spacing w:line="600" w:lineRule="exact"/>
        <w:ind w:right="0"/>
        <w:jc w:val="center"/>
        <w:textAlignment w:val="baseline"/>
        <w:rPr>
          <w:rFonts w:hint="eastAsia" w:ascii="黑体" w:hAnsi="黑体" w:eastAsia="黑体" w:cs="黑体"/>
          <w:snapToGrid/>
          <w:color w:val="000000"/>
          <w:kern w:val="0"/>
          <w:sz w:val="32"/>
          <w:szCs w:val="32"/>
          <w:lang w:val="zh-CN" w:eastAsia="zh-CN"/>
        </w:rPr>
      </w:pPr>
    </w:p>
    <w:p>
      <w:pPr>
        <w:keepNext w:val="0"/>
        <w:keepLines w:val="0"/>
        <w:pageBreakBefore w:val="0"/>
        <w:widowControl w:val="0"/>
        <w:kinsoku w:val="0"/>
        <w:wordWrap/>
        <w:overflowPunct/>
        <w:topLinePunct w:val="0"/>
        <w:autoSpaceDE w:val="0"/>
        <w:autoSpaceDN w:val="0"/>
        <w:bidi w:val="0"/>
        <w:adjustRightInd w:val="0"/>
        <w:snapToGrid w:val="0"/>
        <w:spacing w:line="600" w:lineRule="exact"/>
        <w:ind w:right="0"/>
        <w:jc w:val="center"/>
        <w:textAlignment w:val="baseline"/>
        <w:rPr>
          <w:rFonts w:hint="eastAsia" w:ascii="黑体" w:hAnsi="黑体" w:eastAsia="黑体" w:cs="黑体"/>
          <w:snapToGrid/>
          <w:color w:val="000000"/>
          <w:kern w:val="0"/>
          <w:sz w:val="32"/>
          <w:szCs w:val="32"/>
          <w:lang w:val="zh-CN" w:eastAsia="zh-CN"/>
        </w:rPr>
      </w:pPr>
      <w:r>
        <w:rPr>
          <w:rFonts w:hint="eastAsia" w:ascii="黑体" w:hAnsi="黑体" w:eastAsia="黑体" w:cs="黑体"/>
          <w:snapToGrid/>
          <w:color w:val="000000"/>
          <w:kern w:val="0"/>
          <w:sz w:val="32"/>
          <w:szCs w:val="32"/>
          <w:lang w:val="zh-CN" w:eastAsia="zh-CN"/>
        </w:rPr>
        <w:t xml:space="preserve">第五章 </w:t>
      </w:r>
      <w:r>
        <w:rPr>
          <w:rFonts w:hint="eastAsia" w:ascii="黑体" w:hAnsi="黑体" w:eastAsia="黑体" w:cs="黑体"/>
          <w:snapToGrid/>
          <w:color w:val="000000"/>
          <w:kern w:val="0"/>
          <w:sz w:val="32"/>
          <w:szCs w:val="32"/>
          <w:lang w:val="en-US" w:eastAsia="zh-CN"/>
        </w:rPr>
        <w:t xml:space="preserve"> </w:t>
      </w:r>
      <w:r>
        <w:rPr>
          <w:rFonts w:hint="eastAsia" w:ascii="黑体" w:hAnsi="黑体" w:eastAsia="黑体" w:cs="黑体"/>
          <w:snapToGrid/>
          <w:color w:val="000000"/>
          <w:kern w:val="0"/>
          <w:sz w:val="32"/>
          <w:szCs w:val="32"/>
          <w:lang w:val="zh-CN" w:eastAsia="zh-CN"/>
        </w:rPr>
        <w:t>申请程序</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right="0"/>
        <w:textAlignment w:val="baseline"/>
        <w:rPr>
          <w:rFonts w:hint="eastAsia" w:ascii="仿宋_GB2312" w:hAnsi="仿宋_GB2312" w:eastAsia="仿宋_GB2312" w:cs="仿宋_GB2312"/>
          <w:sz w:val="32"/>
          <w:szCs w:val="32"/>
        </w:rPr>
      </w:pPr>
    </w:p>
    <w:p>
      <w:pPr>
        <w:keepNext w:val="0"/>
        <w:keepLines w:val="0"/>
        <w:pageBreakBefore w:val="0"/>
        <w:widowControl w:val="0"/>
        <w:kinsoku w:val="0"/>
        <w:wordWrap/>
        <w:overflowPunct/>
        <w:topLinePunct w:val="0"/>
        <w:autoSpaceDE w:val="0"/>
        <w:autoSpaceDN w:val="0"/>
        <w:bidi w:val="0"/>
        <w:adjustRightInd w:val="0"/>
        <w:snapToGrid w:val="0"/>
        <w:spacing w:line="600" w:lineRule="exact"/>
        <w:ind w:right="0" w:firstLine="640" w:firstLineChars="200"/>
        <w:textAlignment w:val="baseline"/>
        <w:rPr>
          <w:rFonts w:hint="eastAsia" w:ascii="仿宋_GB2312" w:hAnsi="仿宋_GB2312" w:eastAsia="仿宋_GB2312" w:cs="仿宋_GB2312"/>
          <w:sz w:val="32"/>
          <w:szCs w:val="32"/>
        </w:rPr>
      </w:pPr>
      <w:r>
        <w:rPr>
          <w:rFonts w:hint="eastAsia" w:ascii="黑体" w:hAnsi="黑体" w:eastAsia="黑体" w:cs="黑体"/>
          <w:snapToGrid/>
          <w:color w:val="000000"/>
          <w:kern w:val="0"/>
          <w:sz w:val="32"/>
          <w:szCs w:val="32"/>
          <w:lang w:val="zh-CN" w:eastAsia="zh-CN"/>
        </w:rPr>
        <w:t xml:space="preserve">第十六条  </w:t>
      </w:r>
      <w:r>
        <w:rPr>
          <w:rFonts w:hint="eastAsia" w:ascii="仿宋_GB2312" w:hAnsi="仿宋_GB2312" w:eastAsia="仿宋_GB2312" w:cs="仿宋_GB2312"/>
          <w:sz w:val="32"/>
          <w:szCs w:val="32"/>
        </w:rPr>
        <w:t>符合享受本《办法》规定的政府补助的被征地农民，申请程序如下：</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（一）选择参加或衔接并入城乡居民基本养老保险的被征地农民，向县级城乡居民养老保险经办机构进行申请。</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申请时，由其本人或指定代理人持《失地农民养老保障证》复印件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《云南省社会保险费缴款收据》或金融机构缴款凭证复印件、身份证复印件以及经办机构规定的其它材料并填写《被征地农民基本养老保障专项资金补助申请表》进行申请；</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申请时间原则上为每年的</w:t>
      </w:r>
      <w:r>
        <w:rPr>
          <w:rFonts w:hint="eastAsia" w:ascii="宋体" w:hAnsi="宋体" w:eastAsia="宋体" w:cs="宋体"/>
          <w:sz w:val="32"/>
          <w:szCs w:val="32"/>
        </w:rPr>
        <w:t>1</w:t>
      </w:r>
      <w:r>
        <w:rPr>
          <w:rFonts w:hint="eastAsia" w:ascii="仿宋_GB2312" w:hAnsi="仿宋_GB2312" w:eastAsia="仿宋_GB2312" w:cs="仿宋_GB2312"/>
          <w:sz w:val="32"/>
          <w:szCs w:val="32"/>
        </w:rPr>
        <w:t>月至</w:t>
      </w:r>
      <w:r>
        <w:rPr>
          <w:rFonts w:hint="eastAsia" w:ascii="宋体" w:hAnsi="宋体" w:eastAsia="宋体" w:cs="宋体"/>
          <w:sz w:val="32"/>
          <w:szCs w:val="32"/>
        </w:rPr>
        <w:t>10</w:t>
      </w:r>
      <w:r>
        <w:rPr>
          <w:rFonts w:hint="eastAsia" w:ascii="仿宋_GB2312" w:hAnsi="仿宋_GB2312" w:eastAsia="仿宋_GB2312" w:cs="仿宋_GB2312"/>
          <w:sz w:val="32"/>
          <w:szCs w:val="32"/>
        </w:rPr>
        <w:t>月；</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县级城乡居民养老保险经办机构负责对其本人或指定代理人提供的申请材料进行审核，审核确认后，对被征地农民符合按年或一次性享受的政府补助，应在每年</w:t>
      </w:r>
      <w:r>
        <w:rPr>
          <w:rFonts w:hint="eastAsia" w:ascii="宋体" w:hAnsi="宋体" w:eastAsia="宋体" w:cs="宋体"/>
          <w:sz w:val="32"/>
          <w:szCs w:val="32"/>
        </w:rPr>
        <w:t>12</w:t>
      </w:r>
      <w:r>
        <w:rPr>
          <w:rFonts w:hint="eastAsia" w:ascii="仿宋_GB2312" w:hAnsi="仿宋_GB2312" w:eastAsia="仿宋_GB2312" w:cs="仿宋_GB2312"/>
          <w:sz w:val="32"/>
          <w:szCs w:val="32"/>
        </w:rPr>
        <w:t>月</w:t>
      </w:r>
      <w:r>
        <w:rPr>
          <w:rFonts w:hint="eastAsia" w:ascii="宋体" w:hAnsi="宋体" w:eastAsia="宋体" w:cs="宋体"/>
          <w:sz w:val="32"/>
          <w:szCs w:val="32"/>
        </w:rPr>
        <w:t>15</w:t>
      </w:r>
      <w:r>
        <w:rPr>
          <w:rFonts w:hint="eastAsia" w:ascii="仿宋_GB2312" w:hAnsi="仿宋_GB2312" w:eastAsia="仿宋_GB2312" w:cs="仿宋_GB2312"/>
          <w:sz w:val="32"/>
          <w:szCs w:val="32"/>
        </w:rPr>
        <w:t>日前记入其城乡居民基本养老保险个人账户；</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（二）选择参加或衔接并入职工基本养老保险的被征地农民，向县级社会保险经办机构进行申请。</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申请时，由其本人或指定代理人持《失地农民养老保障证》复印件、缴费凭证（《中华人民共和国税收完税证明》）、本人银行卡复印件、身份证复印件以及经办机构规定的其它材料并填写《被征地农民基本养老保障专项资金补助申请表》进行申请；</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申请时间原则上为每年的</w:t>
      </w:r>
      <w:r>
        <w:rPr>
          <w:rFonts w:hint="eastAsia" w:ascii="宋体" w:hAnsi="宋体" w:eastAsia="宋体" w:cs="宋体"/>
          <w:sz w:val="32"/>
          <w:szCs w:val="32"/>
        </w:rPr>
        <w:t>1</w:t>
      </w:r>
      <w:r>
        <w:rPr>
          <w:rFonts w:hint="eastAsia" w:ascii="仿宋_GB2312" w:hAnsi="仿宋_GB2312" w:eastAsia="仿宋_GB2312" w:cs="仿宋_GB2312"/>
          <w:sz w:val="32"/>
          <w:szCs w:val="32"/>
        </w:rPr>
        <w:t>月至</w:t>
      </w:r>
      <w:r>
        <w:rPr>
          <w:rFonts w:hint="eastAsia" w:ascii="宋体" w:hAnsi="宋体" w:eastAsia="宋体" w:cs="宋体"/>
          <w:sz w:val="32"/>
          <w:szCs w:val="32"/>
        </w:rPr>
        <w:t>11</w:t>
      </w:r>
      <w:r>
        <w:rPr>
          <w:rFonts w:hint="eastAsia" w:ascii="仿宋_GB2312" w:hAnsi="仿宋_GB2312" w:eastAsia="仿宋_GB2312" w:cs="仿宋_GB2312"/>
          <w:sz w:val="32"/>
          <w:szCs w:val="32"/>
        </w:rPr>
        <w:t>月；</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县级社会保险经办机构负责对其本人或指定代理人提供的申请材料进行审核，审核确认后，对被征地农民符合按年或一次性享受的政府补助，应自接受申请材料之日起</w:t>
      </w:r>
      <w:r>
        <w:rPr>
          <w:rFonts w:hint="eastAsia" w:ascii="宋体" w:hAnsi="宋体" w:eastAsia="宋体" w:cs="宋体"/>
          <w:sz w:val="32"/>
          <w:szCs w:val="32"/>
        </w:rPr>
        <w:t>30</w:t>
      </w:r>
      <w:r>
        <w:rPr>
          <w:rFonts w:hint="eastAsia" w:ascii="仿宋_GB2312" w:hAnsi="仿宋_GB2312" w:eastAsia="仿宋_GB2312" w:cs="仿宋_GB2312"/>
          <w:sz w:val="32"/>
          <w:szCs w:val="32"/>
        </w:rPr>
        <w:t>个工作日内兑付给参保人。</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right="0"/>
        <w:jc w:val="left"/>
        <w:textAlignment w:val="baseline"/>
        <w:rPr>
          <w:rFonts w:hint="eastAsia" w:ascii="仿宋_GB2312" w:hAnsi="仿宋_GB2312" w:eastAsia="仿宋_GB2312" w:cs="仿宋_GB2312"/>
          <w:sz w:val="32"/>
          <w:szCs w:val="32"/>
        </w:rPr>
      </w:pPr>
      <w:r>
        <w:rPr>
          <w:rFonts w:hint="eastAsia" w:ascii="黑体" w:hAnsi="黑体" w:eastAsia="黑体" w:cs="黑体"/>
          <w:snapToGrid/>
          <w:color w:val="000000"/>
          <w:kern w:val="0"/>
          <w:sz w:val="32"/>
          <w:szCs w:val="32"/>
          <w:lang w:val="en-US" w:eastAsia="zh-CN"/>
        </w:rPr>
        <w:t xml:space="preserve">    </w:t>
      </w:r>
      <w:r>
        <w:rPr>
          <w:rFonts w:hint="eastAsia" w:ascii="黑体" w:hAnsi="黑体" w:eastAsia="黑体" w:cs="黑体"/>
          <w:snapToGrid/>
          <w:color w:val="000000"/>
          <w:kern w:val="0"/>
          <w:sz w:val="32"/>
          <w:szCs w:val="32"/>
          <w:lang w:val="zh-CN" w:eastAsia="zh-CN"/>
        </w:rPr>
        <w:t xml:space="preserve">第十七条 </w:t>
      </w:r>
      <w:r>
        <w:rPr>
          <w:rFonts w:hint="eastAsia" w:ascii="仿宋_GB2312" w:hAnsi="仿宋_GB2312" w:eastAsia="仿宋_GB2312" w:cs="仿宋_GB2312"/>
          <w:sz w:val="32"/>
          <w:szCs w:val="32"/>
        </w:rPr>
        <w:t xml:space="preserve"> 鼓励符合缴费条件的参保人员，在累计缴费年限和享受政府补助年限分别满</w:t>
      </w:r>
      <w:r>
        <w:rPr>
          <w:rFonts w:hint="eastAsia" w:ascii="宋体" w:hAnsi="宋体" w:eastAsia="宋体" w:cs="宋体"/>
          <w:sz w:val="32"/>
          <w:szCs w:val="32"/>
        </w:rPr>
        <w:t>15</w:t>
      </w:r>
      <w:r>
        <w:rPr>
          <w:rFonts w:hint="eastAsia" w:ascii="仿宋_GB2312" w:hAnsi="仿宋_GB2312" w:eastAsia="仿宋_GB2312" w:cs="仿宋_GB2312"/>
          <w:sz w:val="32"/>
          <w:szCs w:val="32"/>
        </w:rPr>
        <w:t>年后，继续按年缴纳养老保险费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增加缴费年限，以享受更高水平的养老金待遇，但不再享受政府补助。</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right="0"/>
        <w:textAlignment w:val="baseline"/>
        <w:rPr>
          <w:rFonts w:hint="eastAsia" w:ascii="仿宋_GB2312" w:hAnsi="仿宋_GB2312" w:eastAsia="仿宋_GB2312" w:cs="仿宋_GB2312"/>
          <w:sz w:val="32"/>
          <w:szCs w:val="32"/>
        </w:rPr>
      </w:pPr>
    </w:p>
    <w:p>
      <w:pPr>
        <w:keepNext w:val="0"/>
        <w:keepLines w:val="0"/>
        <w:pageBreakBefore w:val="0"/>
        <w:widowControl w:val="0"/>
        <w:kinsoku w:val="0"/>
        <w:wordWrap/>
        <w:overflowPunct/>
        <w:topLinePunct w:val="0"/>
        <w:autoSpaceDE w:val="0"/>
        <w:autoSpaceDN w:val="0"/>
        <w:bidi w:val="0"/>
        <w:adjustRightInd w:val="0"/>
        <w:snapToGrid w:val="0"/>
        <w:spacing w:line="600" w:lineRule="exact"/>
        <w:ind w:right="0"/>
        <w:jc w:val="center"/>
        <w:textAlignment w:val="baseline"/>
        <w:rPr>
          <w:rFonts w:hint="eastAsia" w:ascii="仿宋_GB2312" w:hAnsi="仿宋_GB2312" w:eastAsia="仿宋_GB2312" w:cs="仿宋_GB2312"/>
          <w:sz w:val="32"/>
          <w:szCs w:val="32"/>
        </w:rPr>
      </w:pPr>
      <w:r>
        <w:rPr>
          <w:rFonts w:hint="eastAsia" w:ascii="黑体" w:hAnsi="黑体" w:eastAsia="黑体" w:cs="黑体"/>
          <w:snapToGrid/>
          <w:color w:val="000000"/>
          <w:kern w:val="0"/>
          <w:sz w:val="32"/>
          <w:szCs w:val="32"/>
          <w:lang w:val="zh-CN" w:eastAsia="zh-CN"/>
        </w:rPr>
        <w:t>第六章 资金来源和管理</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right="0" w:firstLine="640" w:firstLineChars="200"/>
        <w:textAlignment w:val="baseline"/>
        <w:rPr>
          <w:rFonts w:hint="eastAsia" w:ascii="黑体" w:hAnsi="黑体" w:eastAsia="黑体" w:cs="黑体"/>
          <w:snapToGrid/>
          <w:color w:val="000000"/>
          <w:kern w:val="0"/>
          <w:sz w:val="32"/>
          <w:szCs w:val="32"/>
          <w:lang w:val="zh-CN" w:eastAsia="zh-CN"/>
        </w:rPr>
      </w:pPr>
    </w:p>
    <w:p>
      <w:pPr>
        <w:keepNext w:val="0"/>
        <w:keepLines w:val="0"/>
        <w:pageBreakBefore w:val="0"/>
        <w:widowControl w:val="0"/>
        <w:kinsoku w:val="0"/>
        <w:wordWrap/>
        <w:overflowPunct/>
        <w:topLinePunct w:val="0"/>
        <w:autoSpaceDE w:val="0"/>
        <w:autoSpaceDN w:val="0"/>
        <w:bidi w:val="0"/>
        <w:adjustRightInd w:val="0"/>
        <w:snapToGrid w:val="0"/>
        <w:spacing w:line="600" w:lineRule="exact"/>
        <w:ind w:right="0" w:firstLine="640" w:firstLineChars="200"/>
        <w:textAlignment w:val="baseline"/>
        <w:rPr>
          <w:rFonts w:hint="eastAsia" w:ascii="仿宋_GB2312" w:hAnsi="仿宋_GB2312" w:eastAsia="仿宋_GB2312" w:cs="仿宋_GB2312"/>
          <w:sz w:val="32"/>
          <w:szCs w:val="32"/>
          <w:lang w:eastAsia="zh-CN"/>
        </w:rPr>
      </w:pPr>
      <w:r>
        <w:rPr>
          <w:rFonts w:hint="eastAsia" w:ascii="黑体" w:hAnsi="黑体" w:eastAsia="黑体" w:cs="黑体"/>
          <w:snapToGrid/>
          <w:color w:val="000000"/>
          <w:kern w:val="0"/>
          <w:sz w:val="32"/>
          <w:szCs w:val="32"/>
          <w:lang w:val="zh-CN" w:eastAsia="zh-CN"/>
        </w:rPr>
        <w:t>第十八条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县政府在土地出让时，按照不低于当年国有土地出让纯收益</w:t>
      </w:r>
      <w:r>
        <w:rPr>
          <w:rFonts w:hint="eastAsia" w:ascii="宋体" w:hAnsi="宋体" w:eastAsia="宋体" w:cs="宋体"/>
          <w:sz w:val="32"/>
          <w:szCs w:val="32"/>
        </w:rPr>
        <w:t>5</w:t>
      </w:r>
      <w:r>
        <w:rPr>
          <w:rFonts w:hint="eastAsia" w:ascii="仿宋_GB2312" w:hAnsi="仿宋_GB2312" w:eastAsia="仿宋_GB2312" w:cs="仿宋_GB2312"/>
          <w:sz w:val="32"/>
          <w:szCs w:val="32"/>
        </w:rPr>
        <w:t>%的标准提取被征地农民基本养老保障风险准备金</w:t>
      </w:r>
      <w:r>
        <w:rPr>
          <w:rFonts w:hint="eastAsia" w:ascii="仿宋_GB2312" w:hAnsi="仿宋_GB2312" w:eastAsia="仿宋_GB2312" w:cs="仿宋_GB2312"/>
          <w:sz w:val="32"/>
          <w:szCs w:val="32"/>
          <w:lang w:eastAsia="zh-CN"/>
        </w:rPr>
        <w:t>。</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right="0" w:firstLine="640" w:firstLineChars="200"/>
        <w:textAlignment w:val="baseline"/>
        <w:rPr>
          <w:rFonts w:hint="eastAsia" w:ascii="仿宋_GB2312" w:hAnsi="仿宋_GB2312" w:eastAsia="仿宋_GB2312" w:cs="仿宋_GB2312"/>
          <w:sz w:val="32"/>
          <w:szCs w:val="32"/>
        </w:rPr>
      </w:pPr>
      <w:r>
        <w:rPr>
          <w:rFonts w:hint="eastAsia" w:ascii="黑体" w:hAnsi="黑体" w:eastAsia="黑体" w:cs="黑体"/>
          <w:snapToGrid/>
          <w:color w:val="000000"/>
          <w:kern w:val="0"/>
          <w:sz w:val="32"/>
          <w:szCs w:val="32"/>
          <w:lang w:val="zh-CN" w:eastAsia="zh-CN"/>
        </w:rPr>
        <w:t>第十九条</w:t>
      </w:r>
      <w:r>
        <w:rPr>
          <w:rFonts w:hint="eastAsia" w:ascii="黑体" w:hAnsi="黑体" w:eastAsia="黑体" w:cs="黑体"/>
          <w:snapToGrid/>
          <w:color w:val="000000"/>
          <w:kern w:val="0"/>
          <w:sz w:val="32"/>
          <w:szCs w:val="32"/>
          <w:lang w:val="en-US" w:eastAsia="zh-CN"/>
        </w:rPr>
        <w:t xml:space="preserve">  </w:t>
      </w:r>
      <w:r>
        <w:rPr>
          <w:rFonts w:hint="eastAsia" w:ascii="仿宋_GB2312" w:hAnsi="仿宋_GB2312" w:eastAsia="仿宋_GB2312" w:cs="仿宋_GB2312"/>
          <w:sz w:val="32"/>
          <w:szCs w:val="32"/>
        </w:rPr>
        <w:t>专项资金和风险准备金原则上实行县级管理，纳入被征地农民社会保障资金专户，实行收支两条线管理，分账核算；专项资金支付不足时由县级政府通过风险准备金补助；县财政、县人力资源和社会保障局、县自然资源局、县农业农村局等部门要严格按照上级部门的要求，加强对专项资金和风险准备金的监督管理，确保专款专用。</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right="0" w:firstLine="640" w:firstLineChars="200"/>
        <w:textAlignment w:val="baseline"/>
        <w:rPr>
          <w:rFonts w:hint="eastAsia" w:ascii="仿宋_GB2312" w:hAnsi="仿宋_GB2312" w:eastAsia="仿宋_GB2312" w:cs="仿宋_GB2312"/>
          <w:sz w:val="32"/>
          <w:szCs w:val="32"/>
        </w:rPr>
      </w:pPr>
      <w:r>
        <w:rPr>
          <w:rFonts w:hint="eastAsia" w:ascii="黑体" w:hAnsi="黑体" w:eastAsia="黑体" w:cs="黑体"/>
          <w:snapToGrid/>
          <w:color w:val="000000"/>
          <w:kern w:val="0"/>
          <w:sz w:val="32"/>
          <w:szCs w:val="32"/>
          <w:lang w:val="zh-CN" w:eastAsia="zh-CN"/>
        </w:rPr>
        <w:t>第二十条</w:t>
      </w:r>
      <w:r>
        <w:rPr>
          <w:rFonts w:hint="eastAsia" w:ascii="黑体" w:hAnsi="黑体" w:eastAsia="黑体" w:cs="黑体"/>
          <w:snapToGrid/>
          <w:color w:val="000000"/>
          <w:kern w:val="0"/>
          <w:sz w:val="32"/>
          <w:szCs w:val="32"/>
          <w:lang w:val="en-US" w:eastAsia="zh-CN"/>
        </w:rPr>
        <w:t xml:space="preserve">  </w:t>
      </w:r>
      <w:r>
        <w:rPr>
          <w:rFonts w:hint="eastAsia" w:ascii="仿宋_GB2312" w:hAnsi="仿宋_GB2312" w:eastAsia="仿宋_GB2312" w:cs="仿宋_GB2312"/>
          <w:sz w:val="32"/>
          <w:szCs w:val="32"/>
        </w:rPr>
        <w:t>严格征地社保审核工作，征收农村集体所有土地时，应按照“先保后征”的原则足额征缴被征地农民基本养老保障专项资金，县自然资源管理部门在供地时计入土地价格成本；严格征地中对被征地农民社会保障措施落实情况的审查，并将审核意见作为征地报批过程中的必备要件和前置条件，未出具审核意见的一律不得批准征地。</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right="0"/>
        <w:jc w:val="center"/>
        <w:textAlignment w:val="baseline"/>
        <w:rPr>
          <w:rFonts w:hint="eastAsia" w:ascii="黑体" w:hAnsi="黑体" w:eastAsia="黑体" w:cs="黑体"/>
          <w:snapToGrid/>
          <w:color w:val="000000"/>
          <w:kern w:val="0"/>
          <w:sz w:val="32"/>
          <w:szCs w:val="32"/>
          <w:lang w:val="zh-CN" w:eastAsia="zh-CN"/>
        </w:rPr>
      </w:pPr>
    </w:p>
    <w:p>
      <w:pPr>
        <w:keepNext w:val="0"/>
        <w:keepLines w:val="0"/>
        <w:pageBreakBefore w:val="0"/>
        <w:widowControl w:val="0"/>
        <w:kinsoku w:val="0"/>
        <w:wordWrap/>
        <w:overflowPunct/>
        <w:topLinePunct w:val="0"/>
        <w:autoSpaceDE w:val="0"/>
        <w:autoSpaceDN w:val="0"/>
        <w:bidi w:val="0"/>
        <w:adjustRightInd w:val="0"/>
        <w:snapToGrid w:val="0"/>
        <w:spacing w:line="600" w:lineRule="exact"/>
        <w:ind w:right="0"/>
        <w:jc w:val="center"/>
        <w:textAlignment w:val="baseline"/>
        <w:rPr>
          <w:rFonts w:hint="eastAsia" w:ascii="黑体" w:hAnsi="黑体" w:eastAsia="黑体" w:cs="黑体"/>
          <w:snapToGrid/>
          <w:color w:val="000000"/>
          <w:kern w:val="0"/>
          <w:sz w:val="32"/>
          <w:szCs w:val="32"/>
          <w:lang w:val="zh-CN" w:eastAsia="zh-CN"/>
        </w:rPr>
      </w:pPr>
      <w:r>
        <w:rPr>
          <w:rFonts w:hint="eastAsia" w:ascii="黑体" w:hAnsi="黑体" w:eastAsia="黑体" w:cs="黑体"/>
          <w:snapToGrid/>
          <w:color w:val="000000"/>
          <w:kern w:val="0"/>
          <w:sz w:val="32"/>
          <w:szCs w:val="32"/>
          <w:lang w:val="zh-CN" w:eastAsia="zh-CN"/>
        </w:rPr>
        <w:t xml:space="preserve">第七章 </w:t>
      </w:r>
      <w:r>
        <w:rPr>
          <w:rFonts w:hint="eastAsia" w:ascii="黑体" w:hAnsi="黑体" w:eastAsia="黑体" w:cs="黑体"/>
          <w:snapToGrid/>
          <w:color w:val="000000"/>
          <w:kern w:val="0"/>
          <w:sz w:val="32"/>
          <w:szCs w:val="32"/>
          <w:lang w:val="en-US" w:eastAsia="zh-CN"/>
        </w:rPr>
        <w:t xml:space="preserve"> </w:t>
      </w:r>
      <w:r>
        <w:rPr>
          <w:rFonts w:hint="eastAsia" w:ascii="黑体" w:hAnsi="黑体" w:eastAsia="黑体" w:cs="黑体"/>
          <w:snapToGrid/>
          <w:color w:val="000000"/>
          <w:kern w:val="0"/>
          <w:sz w:val="32"/>
          <w:szCs w:val="32"/>
          <w:lang w:val="zh-CN" w:eastAsia="zh-CN"/>
        </w:rPr>
        <w:t>职能职责</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right="0"/>
        <w:textAlignment w:val="baseline"/>
        <w:rPr>
          <w:rFonts w:hint="eastAsia" w:ascii="仿宋_GB2312" w:hAnsi="仿宋_GB2312" w:eastAsia="仿宋_GB2312" w:cs="仿宋_GB2312"/>
          <w:sz w:val="32"/>
          <w:szCs w:val="32"/>
        </w:rPr>
      </w:pPr>
    </w:p>
    <w:p>
      <w:pPr>
        <w:keepNext w:val="0"/>
        <w:keepLines w:val="0"/>
        <w:pageBreakBefore w:val="0"/>
        <w:widowControl w:val="0"/>
        <w:kinsoku w:val="0"/>
        <w:wordWrap/>
        <w:overflowPunct/>
        <w:topLinePunct w:val="0"/>
        <w:autoSpaceDE w:val="0"/>
        <w:autoSpaceDN w:val="0"/>
        <w:bidi w:val="0"/>
        <w:adjustRightInd w:val="0"/>
        <w:snapToGrid w:val="0"/>
        <w:spacing w:line="600" w:lineRule="exact"/>
        <w:ind w:right="0" w:firstLine="640" w:firstLineChars="200"/>
        <w:textAlignment w:val="baseline"/>
        <w:rPr>
          <w:rFonts w:hint="eastAsia" w:ascii="仿宋_GB2312" w:hAnsi="仿宋_GB2312" w:eastAsia="仿宋_GB2312" w:cs="仿宋_GB2312"/>
          <w:sz w:val="32"/>
          <w:szCs w:val="32"/>
        </w:rPr>
      </w:pPr>
      <w:r>
        <w:rPr>
          <w:rFonts w:hint="eastAsia" w:ascii="黑体" w:hAnsi="黑体" w:eastAsia="黑体" w:cs="黑体"/>
          <w:snapToGrid/>
          <w:color w:val="000000"/>
          <w:kern w:val="0"/>
          <w:sz w:val="32"/>
          <w:szCs w:val="32"/>
          <w:lang w:val="zh-CN" w:eastAsia="zh-CN"/>
        </w:rPr>
        <w:t xml:space="preserve">第二十一条 </w:t>
      </w:r>
      <w:r>
        <w:rPr>
          <w:rFonts w:hint="eastAsia" w:ascii="仿宋_GB2312" w:hAnsi="仿宋_GB2312" w:eastAsia="仿宋_GB2312" w:cs="仿宋_GB2312"/>
          <w:sz w:val="32"/>
          <w:szCs w:val="32"/>
        </w:rPr>
        <w:t xml:space="preserve"> 成立由分管人力资源</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社会保障</w:t>
      </w:r>
      <w:r>
        <w:rPr>
          <w:rFonts w:hint="eastAsia" w:ascii="仿宋_GB2312" w:hAnsi="仿宋_GB2312" w:eastAsia="仿宋_GB2312" w:cs="仿宋_GB2312"/>
          <w:sz w:val="32"/>
          <w:szCs w:val="32"/>
          <w:lang w:eastAsia="zh-CN"/>
        </w:rPr>
        <w:t>、</w:t>
      </w:r>
      <w:bookmarkStart w:id="0" w:name="_GoBack"/>
      <w:bookmarkEnd w:id="0"/>
      <w:r>
        <w:rPr>
          <w:rFonts w:hint="eastAsia" w:ascii="仿宋_GB2312" w:hAnsi="仿宋_GB2312" w:eastAsia="仿宋_GB2312" w:cs="仿宋_GB2312"/>
          <w:sz w:val="32"/>
          <w:szCs w:val="32"/>
        </w:rPr>
        <w:t>自然资源工作的副县长为副组长，各乡（镇）、勐省农场管委会、县人力资源和社会保障局、县自然资源局、县农业农村局、县财政局、县公 安局、县审计局等部门为成员单位的被征地农民基本养老保障政策领导小组。领导小组办公室下设在县人力资源</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社会保障局，由县人力资源</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社会保障局主要负责人担任办公室主任。领导小组办公室相关工作成员由各单位1名分管领导和业务员组成，各成员单位要相互配合，各司其职。</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（一）各乡（镇）人民政府负责做好被征地农民参加养老保险政策宣传，做好征地后人均耕地低于</w:t>
      </w:r>
      <w:r>
        <w:rPr>
          <w:rFonts w:hint="eastAsia" w:ascii="宋体" w:hAnsi="宋体" w:eastAsia="宋体" w:cs="宋体"/>
          <w:sz w:val="32"/>
          <w:szCs w:val="32"/>
        </w:rPr>
        <w:t>0.3</w:t>
      </w:r>
      <w:r>
        <w:rPr>
          <w:rFonts w:hint="eastAsia" w:ascii="仿宋_GB2312" w:hAnsi="仿宋_GB2312" w:eastAsia="仿宋_GB2312" w:cs="仿宋_GB2312"/>
          <w:sz w:val="32"/>
          <w:szCs w:val="32"/>
        </w:rPr>
        <w:t>亩（含</w:t>
      </w:r>
      <w:r>
        <w:rPr>
          <w:rFonts w:hint="eastAsia" w:ascii="宋体" w:hAnsi="宋体" w:eastAsia="宋体" w:cs="宋体"/>
          <w:sz w:val="32"/>
          <w:szCs w:val="32"/>
        </w:rPr>
        <w:t>0.3</w:t>
      </w:r>
      <w:r>
        <w:rPr>
          <w:rFonts w:hint="eastAsia" w:ascii="仿宋_GB2312" w:hAnsi="仿宋_GB2312" w:eastAsia="仿宋_GB2312" w:cs="仿宋_GB2312"/>
          <w:sz w:val="32"/>
          <w:szCs w:val="32"/>
        </w:rPr>
        <w:t>亩）被征地 农民信息的初审、确认、公示、统计上报工作；提供符合参保条 件的人员情况，组织村民小组、村(社区)委会做好享受政府补助人员的申请、审核、复核、核查材料及上报工作。</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（二）县自然资源局负责按程序落实用地报批，监督土地征收部门土地征收工作，足额支付土地补偿费、安置补助费，与人力资源和社会保障局共同做好征地社保审核工作；</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（三）县自然资源局要牵头联合农业农村局、人力资源和社会保障局、公安局等部门做好被征地农民身份认定工作，负责核实征地项目情况；</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（四）县农业农村局负责核实被征地农民承包的农村集体土地面积、征地面积情况；</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（五）县人力资源和社会保障局严格按照省人力资源</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社会保障厅制定的经办管理程序规程，认真做好参保缴费、补助办理、个人账户管理、待遇支付等各项经办服务工作；</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（六）县财政局负责专户设立，做好专项资金和风险准备金专户管理、资金划拨等工作；</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（七）县审计局负责对被征地补偿资金、被征地农民基本养老保障专项资金的收支及管理运营等情况进行审计监督。</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right="0"/>
        <w:jc w:val="center"/>
        <w:textAlignment w:val="baseline"/>
        <w:rPr>
          <w:rFonts w:hint="eastAsia" w:ascii="黑体" w:hAnsi="黑体" w:eastAsia="黑体" w:cs="黑体"/>
          <w:snapToGrid/>
          <w:color w:val="000000"/>
          <w:kern w:val="0"/>
          <w:sz w:val="32"/>
          <w:szCs w:val="32"/>
          <w:lang w:val="zh-CN" w:eastAsia="zh-CN"/>
        </w:rPr>
      </w:pPr>
    </w:p>
    <w:p>
      <w:pPr>
        <w:keepNext w:val="0"/>
        <w:keepLines w:val="0"/>
        <w:pageBreakBefore w:val="0"/>
        <w:widowControl w:val="0"/>
        <w:kinsoku w:val="0"/>
        <w:wordWrap/>
        <w:overflowPunct/>
        <w:topLinePunct w:val="0"/>
        <w:autoSpaceDE w:val="0"/>
        <w:autoSpaceDN w:val="0"/>
        <w:bidi w:val="0"/>
        <w:adjustRightInd w:val="0"/>
        <w:snapToGrid w:val="0"/>
        <w:spacing w:line="600" w:lineRule="exact"/>
        <w:ind w:right="0"/>
        <w:jc w:val="center"/>
        <w:textAlignment w:val="baseline"/>
        <w:rPr>
          <w:rFonts w:hint="eastAsia" w:ascii="黑体" w:hAnsi="黑体" w:eastAsia="黑体" w:cs="黑体"/>
          <w:snapToGrid/>
          <w:color w:val="000000"/>
          <w:kern w:val="0"/>
          <w:sz w:val="32"/>
          <w:szCs w:val="32"/>
          <w:lang w:val="zh-CN" w:eastAsia="zh-CN"/>
        </w:rPr>
      </w:pPr>
      <w:r>
        <w:rPr>
          <w:rFonts w:hint="eastAsia" w:ascii="黑体" w:hAnsi="黑体" w:eastAsia="黑体" w:cs="黑体"/>
          <w:snapToGrid/>
          <w:color w:val="000000"/>
          <w:kern w:val="0"/>
          <w:sz w:val="32"/>
          <w:szCs w:val="32"/>
          <w:lang w:val="zh-CN" w:eastAsia="zh-CN"/>
        </w:rPr>
        <w:t>第八章  法律责任</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right="0"/>
        <w:jc w:val="left"/>
        <w:textAlignment w:val="baseline"/>
        <w:rPr>
          <w:rFonts w:hint="eastAsia" w:ascii="黑体" w:hAnsi="黑体" w:eastAsia="黑体" w:cs="黑体"/>
          <w:snapToGrid/>
          <w:color w:val="000000"/>
          <w:kern w:val="0"/>
          <w:sz w:val="32"/>
          <w:szCs w:val="32"/>
          <w:lang w:val="en-US" w:eastAsia="zh-CN"/>
        </w:rPr>
      </w:pPr>
    </w:p>
    <w:p>
      <w:pPr>
        <w:keepNext w:val="0"/>
        <w:keepLines w:val="0"/>
        <w:pageBreakBefore w:val="0"/>
        <w:widowControl w:val="0"/>
        <w:kinsoku w:val="0"/>
        <w:wordWrap/>
        <w:overflowPunct/>
        <w:topLinePunct w:val="0"/>
        <w:autoSpaceDE w:val="0"/>
        <w:autoSpaceDN w:val="0"/>
        <w:bidi w:val="0"/>
        <w:adjustRightInd w:val="0"/>
        <w:snapToGrid w:val="0"/>
        <w:spacing w:line="600" w:lineRule="exact"/>
        <w:ind w:right="0" w:firstLine="640" w:firstLineChars="200"/>
        <w:jc w:val="left"/>
        <w:textAlignment w:val="baseline"/>
        <w:rPr>
          <w:rFonts w:hint="eastAsia" w:ascii="仿宋_GB2312" w:hAnsi="仿宋_GB2312" w:eastAsia="仿宋_GB2312" w:cs="仿宋_GB2312"/>
          <w:sz w:val="32"/>
          <w:szCs w:val="32"/>
        </w:rPr>
      </w:pPr>
      <w:r>
        <w:rPr>
          <w:rFonts w:hint="eastAsia" w:ascii="黑体" w:hAnsi="黑体" w:eastAsia="黑体" w:cs="黑体"/>
          <w:snapToGrid/>
          <w:color w:val="000000"/>
          <w:kern w:val="0"/>
          <w:sz w:val="32"/>
          <w:szCs w:val="32"/>
          <w:lang w:val="en-US" w:eastAsia="zh-CN"/>
        </w:rPr>
        <w:t xml:space="preserve">第二十二条  </w:t>
      </w:r>
      <w:r>
        <w:rPr>
          <w:rFonts w:hint="eastAsia" w:ascii="仿宋_GB2312" w:hAnsi="仿宋_GB2312" w:eastAsia="仿宋_GB2312" w:cs="仿宋_GB2312"/>
          <w:snapToGrid/>
          <w:color w:val="000000"/>
          <w:kern w:val="0"/>
          <w:sz w:val="32"/>
          <w:szCs w:val="32"/>
          <w:lang w:val="en-US" w:eastAsia="zh-CN"/>
        </w:rPr>
        <w:t>任何人不得虚报、冒领参保缴费补助，违反规定的，除依法追回虚报、冒领金额外，还将依法追究相关法律责任</w:t>
      </w:r>
      <w:r>
        <w:rPr>
          <w:rFonts w:hint="eastAsia" w:ascii="仿宋_GB2312" w:hAnsi="仿宋_GB2312" w:eastAsia="仿宋_GB2312" w:cs="仿宋_GB2312"/>
          <w:sz w:val="32"/>
          <w:szCs w:val="32"/>
        </w:rPr>
        <w:t>。</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right="0" w:firstLine="640" w:firstLineChars="200"/>
        <w:textAlignment w:val="baseline"/>
        <w:rPr>
          <w:rFonts w:hint="eastAsia" w:ascii="仿宋_GB2312" w:hAnsi="仿宋_GB2312" w:eastAsia="仿宋_GB2312" w:cs="仿宋_GB2312"/>
          <w:sz w:val="32"/>
          <w:szCs w:val="32"/>
        </w:rPr>
      </w:pPr>
      <w:r>
        <w:rPr>
          <w:rFonts w:hint="eastAsia" w:ascii="黑体" w:hAnsi="黑体" w:eastAsia="黑体" w:cs="黑体"/>
          <w:snapToGrid/>
          <w:color w:val="000000"/>
          <w:kern w:val="0"/>
          <w:sz w:val="32"/>
          <w:szCs w:val="32"/>
          <w:lang w:val="zh-CN" w:eastAsia="zh-CN"/>
        </w:rPr>
        <w:t>第二十三条</w:t>
      </w:r>
      <w:r>
        <w:rPr>
          <w:rFonts w:hint="eastAsia" w:ascii="仿宋_GB2312" w:hAnsi="仿宋_GB2312" w:eastAsia="仿宋_GB2312" w:cs="仿宋_GB2312"/>
          <w:sz w:val="32"/>
          <w:szCs w:val="32"/>
        </w:rPr>
        <w:t xml:space="preserve">  各有关单位及工作人员，在被征地农民基本养 老保障工作中玩忽职守、滥用职权、徇私舞弊的，按相关规定给予处分，构成犯罪的，依法追究刑事责任。</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right="0"/>
        <w:textAlignment w:val="baseline"/>
        <w:rPr>
          <w:rFonts w:hint="eastAsia" w:ascii="仿宋_GB2312" w:hAnsi="仿宋_GB2312" w:eastAsia="仿宋_GB2312" w:cs="仿宋_GB2312"/>
          <w:sz w:val="32"/>
          <w:szCs w:val="32"/>
        </w:rPr>
      </w:pPr>
    </w:p>
    <w:p>
      <w:pPr>
        <w:keepNext w:val="0"/>
        <w:keepLines w:val="0"/>
        <w:pageBreakBefore w:val="0"/>
        <w:widowControl w:val="0"/>
        <w:kinsoku w:val="0"/>
        <w:wordWrap/>
        <w:overflowPunct/>
        <w:topLinePunct w:val="0"/>
        <w:autoSpaceDE w:val="0"/>
        <w:autoSpaceDN w:val="0"/>
        <w:bidi w:val="0"/>
        <w:adjustRightInd w:val="0"/>
        <w:snapToGrid w:val="0"/>
        <w:spacing w:line="600" w:lineRule="exact"/>
        <w:ind w:right="0"/>
        <w:jc w:val="center"/>
        <w:textAlignment w:val="baseline"/>
        <w:rPr>
          <w:rFonts w:hint="eastAsia" w:ascii="黑体" w:hAnsi="黑体" w:eastAsia="黑体" w:cs="黑体"/>
          <w:snapToGrid/>
          <w:color w:val="000000"/>
          <w:kern w:val="0"/>
          <w:sz w:val="32"/>
          <w:szCs w:val="32"/>
          <w:lang w:val="zh-CN" w:eastAsia="zh-CN"/>
        </w:rPr>
      </w:pPr>
      <w:r>
        <w:rPr>
          <w:rFonts w:hint="eastAsia" w:ascii="黑体" w:hAnsi="黑体" w:eastAsia="黑体" w:cs="黑体"/>
          <w:snapToGrid/>
          <w:color w:val="000000"/>
          <w:kern w:val="0"/>
          <w:sz w:val="32"/>
          <w:szCs w:val="32"/>
          <w:lang w:val="zh-CN" w:eastAsia="zh-CN"/>
        </w:rPr>
        <w:t xml:space="preserve">第九章 </w:t>
      </w:r>
      <w:r>
        <w:rPr>
          <w:rFonts w:hint="eastAsia" w:ascii="黑体" w:hAnsi="黑体" w:eastAsia="黑体" w:cs="黑体"/>
          <w:snapToGrid/>
          <w:color w:val="000000"/>
          <w:kern w:val="0"/>
          <w:sz w:val="32"/>
          <w:szCs w:val="32"/>
          <w:lang w:val="en-US" w:eastAsia="zh-CN"/>
        </w:rPr>
        <w:t xml:space="preserve"> </w:t>
      </w:r>
      <w:r>
        <w:rPr>
          <w:rFonts w:hint="eastAsia" w:ascii="黑体" w:hAnsi="黑体" w:eastAsia="黑体" w:cs="黑体"/>
          <w:snapToGrid/>
          <w:color w:val="000000"/>
          <w:kern w:val="0"/>
          <w:sz w:val="32"/>
          <w:szCs w:val="32"/>
          <w:lang w:val="zh-CN" w:eastAsia="zh-CN"/>
        </w:rPr>
        <w:t>附</w:t>
      </w:r>
      <w:r>
        <w:rPr>
          <w:rFonts w:hint="eastAsia" w:ascii="黑体" w:hAnsi="黑体" w:eastAsia="黑体" w:cs="黑体"/>
          <w:snapToGrid/>
          <w:color w:val="000000"/>
          <w:kern w:val="0"/>
          <w:sz w:val="32"/>
          <w:szCs w:val="32"/>
          <w:lang w:val="en-US" w:eastAsia="zh-CN"/>
        </w:rPr>
        <w:t xml:space="preserve">  </w:t>
      </w:r>
      <w:r>
        <w:rPr>
          <w:rFonts w:hint="eastAsia" w:ascii="黑体" w:hAnsi="黑体" w:eastAsia="黑体" w:cs="黑体"/>
          <w:snapToGrid/>
          <w:color w:val="000000"/>
          <w:kern w:val="0"/>
          <w:sz w:val="32"/>
          <w:szCs w:val="32"/>
          <w:lang w:val="zh-CN" w:eastAsia="zh-CN"/>
        </w:rPr>
        <w:t>则</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right="0"/>
        <w:textAlignment w:val="baseline"/>
        <w:rPr>
          <w:rFonts w:hint="eastAsia" w:ascii="仿宋_GB2312" w:hAnsi="仿宋_GB2312" w:eastAsia="仿宋_GB2312" w:cs="仿宋_GB2312"/>
          <w:sz w:val="32"/>
          <w:szCs w:val="32"/>
        </w:rPr>
      </w:pPr>
    </w:p>
    <w:p>
      <w:pPr>
        <w:keepNext w:val="0"/>
        <w:keepLines w:val="0"/>
        <w:pageBreakBefore w:val="0"/>
        <w:widowControl w:val="0"/>
        <w:kinsoku w:val="0"/>
        <w:wordWrap/>
        <w:overflowPunct/>
        <w:topLinePunct w:val="0"/>
        <w:autoSpaceDE w:val="0"/>
        <w:autoSpaceDN w:val="0"/>
        <w:bidi w:val="0"/>
        <w:adjustRightInd w:val="0"/>
        <w:snapToGrid w:val="0"/>
        <w:spacing w:line="600" w:lineRule="exact"/>
        <w:ind w:right="0" w:firstLine="640" w:firstLineChars="200"/>
        <w:textAlignment w:val="baseline"/>
        <w:rPr>
          <w:rFonts w:hint="eastAsia" w:ascii="仿宋_GB2312" w:hAnsi="仿宋_GB2312" w:eastAsia="仿宋_GB2312" w:cs="仿宋_GB2312"/>
          <w:sz w:val="32"/>
          <w:szCs w:val="32"/>
        </w:rPr>
      </w:pPr>
      <w:r>
        <w:rPr>
          <w:rFonts w:hint="eastAsia" w:ascii="黑体" w:hAnsi="黑体" w:eastAsia="黑体" w:cs="黑体"/>
          <w:snapToGrid/>
          <w:color w:val="000000"/>
          <w:kern w:val="0"/>
          <w:sz w:val="32"/>
          <w:szCs w:val="32"/>
          <w:lang w:val="zh-CN" w:eastAsia="zh-CN"/>
        </w:rPr>
        <w:t>第二十四条</w:t>
      </w:r>
      <w:r>
        <w:rPr>
          <w:rFonts w:hint="eastAsia" w:ascii="黑体" w:hAnsi="黑体" w:eastAsia="黑体" w:cs="黑体"/>
          <w:snapToGrid/>
          <w:color w:val="000000"/>
          <w:kern w:val="0"/>
          <w:sz w:val="32"/>
          <w:szCs w:val="32"/>
          <w:lang w:val="en-US" w:eastAsia="zh-CN"/>
        </w:rPr>
        <w:t xml:space="preserve">  </w:t>
      </w:r>
      <w:r>
        <w:rPr>
          <w:rFonts w:hint="eastAsia" w:ascii="仿宋_GB2312" w:hAnsi="仿宋_GB2312" w:eastAsia="仿宋_GB2312" w:cs="仿宋_GB2312"/>
          <w:sz w:val="32"/>
          <w:szCs w:val="32"/>
        </w:rPr>
        <w:t>严格落实征地过程中对被征地农民的货币化补偿。切实维护易地扶贫搬迁安置中集体经济组织及农户的土地合法权益。坚持应保尽保、应救尽救的原则，凡是符合低保保障范围条件的被征地农户，应全部纳入保障范围。</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right="0" w:firstLine="640" w:firstLineChars="200"/>
        <w:textAlignment w:val="baseline"/>
        <w:rPr>
          <w:rFonts w:hint="default" w:ascii="仿宋_GB2312" w:hAnsi="仿宋_GB2312" w:eastAsia="仿宋_GB2312" w:cs="仿宋_GB2312"/>
          <w:sz w:val="32"/>
          <w:szCs w:val="32"/>
          <w:lang w:val="en-US" w:eastAsia="zh-CN"/>
        </w:rPr>
      </w:pPr>
      <w:r>
        <w:rPr>
          <w:rFonts w:hint="eastAsia" w:ascii="黑体" w:hAnsi="黑体" w:eastAsia="黑体" w:cs="黑体"/>
          <w:snapToGrid/>
          <w:color w:val="000000"/>
          <w:kern w:val="0"/>
          <w:sz w:val="32"/>
          <w:szCs w:val="32"/>
          <w:lang w:val="zh-CN" w:eastAsia="zh-CN"/>
        </w:rPr>
        <w:t>第二十五条</w:t>
      </w:r>
      <w:r>
        <w:rPr>
          <w:rFonts w:hint="eastAsia" w:ascii="仿宋_GB2312" w:hAnsi="仿宋_GB2312" w:eastAsia="仿宋_GB2312" w:cs="仿宋_GB2312"/>
          <w:sz w:val="32"/>
          <w:szCs w:val="32"/>
        </w:rPr>
        <w:t xml:space="preserve">  本《办法》自</w:t>
      </w:r>
      <w:r>
        <w:rPr>
          <w:rFonts w:hint="eastAsia" w:ascii="宋体" w:hAnsi="宋体" w:eastAsia="宋体" w:cs="宋体"/>
          <w:sz w:val="32"/>
          <w:szCs w:val="32"/>
        </w:rPr>
        <w:t>2019</w:t>
      </w:r>
      <w:r>
        <w:rPr>
          <w:rFonts w:hint="eastAsia" w:ascii="仿宋_GB2312" w:hAnsi="仿宋_GB2312" w:eastAsia="仿宋_GB2312" w:cs="仿宋_GB2312"/>
          <w:sz w:val="32"/>
          <w:szCs w:val="32"/>
        </w:rPr>
        <w:t>年</w:t>
      </w:r>
      <w:r>
        <w:rPr>
          <w:rFonts w:hint="eastAsia" w:ascii="宋体" w:hAnsi="宋体" w:eastAsia="宋体" w:cs="宋体"/>
          <w:sz w:val="32"/>
          <w:szCs w:val="32"/>
        </w:rPr>
        <w:t>12</w:t>
      </w:r>
      <w:r>
        <w:rPr>
          <w:rFonts w:hint="eastAsia" w:ascii="仿宋_GB2312" w:hAnsi="仿宋_GB2312" w:eastAsia="仿宋_GB2312" w:cs="仿宋_GB2312"/>
          <w:sz w:val="32"/>
          <w:szCs w:val="32"/>
        </w:rPr>
        <w:t>月</w:t>
      </w:r>
      <w:r>
        <w:rPr>
          <w:rFonts w:hint="eastAsia" w:ascii="宋体" w:hAnsi="宋体" w:eastAsia="宋体" w:cs="宋体"/>
          <w:sz w:val="32"/>
          <w:szCs w:val="32"/>
        </w:rPr>
        <w:t>1</w:t>
      </w:r>
      <w:r>
        <w:rPr>
          <w:rFonts w:hint="eastAsia" w:ascii="仿宋_GB2312" w:hAnsi="仿宋_GB2312" w:eastAsia="仿宋_GB2312" w:cs="仿宋_GB2312"/>
          <w:sz w:val="32"/>
          <w:szCs w:val="32"/>
        </w:rPr>
        <w:t>日起实施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《沧源佤族自治县改革完善被征地农民基本养老保障政策试点实施办法》（沧政发〔</w:t>
      </w:r>
      <w:r>
        <w:rPr>
          <w:rFonts w:hint="eastAsia" w:ascii="宋体" w:hAnsi="宋体" w:eastAsia="宋体" w:cs="宋体"/>
          <w:sz w:val="32"/>
          <w:szCs w:val="32"/>
        </w:rPr>
        <w:t>2016</w:t>
      </w:r>
      <w:r>
        <w:rPr>
          <w:rFonts w:hint="eastAsia" w:ascii="仿宋_GB2312" w:hAnsi="仿宋_GB2312" w:eastAsia="仿宋_GB2312" w:cs="仿宋_GB2312"/>
          <w:sz w:val="32"/>
          <w:szCs w:val="32"/>
        </w:rPr>
        <w:t>〕</w:t>
      </w:r>
      <w:r>
        <w:rPr>
          <w:rFonts w:hint="eastAsia" w:ascii="宋体" w:hAnsi="宋体" w:eastAsia="宋体" w:cs="宋体"/>
          <w:sz w:val="32"/>
          <w:szCs w:val="32"/>
        </w:rPr>
        <w:t>178</w:t>
      </w:r>
      <w:r>
        <w:rPr>
          <w:rFonts w:hint="eastAsia" w:ascii="仿宋_GB2312" w:hAnsi="仿宋_GB2312" w:eastAsia="仿宋_GB2312" w:cs="仿宋_GB2312"/>
          <w:sz w:val="32"/>
          <w:szCs w:val="32"/>
          <w:lang w:eastAsia="zh-CN"/>
        </w:rPr>
        <w:t>号</w:t>
      </w:r>
      <w:r>
        <w:rPr>
          <w:rFonts w:hint="eastAsia" w:ascii="仿宋_GB2312" w:hAnsi="仿宋_GB2312" w:eastAsia="仿宋_GB2312" w:cs="仿宋_GB2312"/>
          <w:sz w:val="32"/>
          <w:szCs w:val="32"/>
        </w:rPr>
        <w:t>）同时废止。以往方案、规定、《办法》与本《办法》不一致的，按照本《办法》执行。</w:t>
      </w:r>
    </w:p>
    <w:sectPr>
      <w:headerReference r:id="rId5" w:type="default"/>
      <w:footerReference r:id="rId6" w:type="default"/>
      <w:pgSz w:w="11906" w:h="16838"/>
      <w:pgMar w:top="1962" w:right="1474" w:bottom="1848" w:left="1587" w:header="851" w:footer="992" w:gutter="0"/>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沧源佤族自治县人民政府发布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沧源佤族自治县</w:t>
    </w:r>
    <w:r>
      <w:rPr>
        <w:rFonts w:hint="eastAsia" w:ascii="宋体" w:hAnsi="宋体" w:eastAsia="宋体" w:cs="宋体"/>
        <w:b/>
        <w:bCs/>
        <w:color w:val="005192"/>
        <w:sz w:val="32"/>
        <w:szCs w:val="32"/>
        <w:lang w:val="en-US" w:eastAsia="zh-CN"/>
      </w:rPr>
      <w:t>人民政府行政规范性文件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FFF9BD"/>
    <w:multiLevelType w:val="singleLevel"/>
    <w:tmpl w:val="FDFFF9BD"/>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xNTJhOWVlYWJkMzJmY2I3NTUxZWVmOGU3NjI3YjgifQ=="/>
  </w:docVars>
  <w:rsids>
    <w:rsidRoot w:val="00172A27"/>
    <w:rsid w:val="019E71BD"/>
    <w:rsid w:val="04B679C3"/>
    <w:rsid w:val="04E24ACA"/>
    <w:rsid w:val="080F63D8"/>
    <w:rsid w:val="09341458"/>
    <w:rsid w:val="0B0912D7"/>
    <w:rsid w:val="0ECA00E7"/>
    <w:rsid w:val="14641FAC"/>
    <w:rsid w:val="152D2DCA"/>
    <w:rsid w:val="17D42C8D"/>
    <w:rsid w:val="1DEC284C"/>
    <w:rsid w:val="1E6523AC"/>
    <w:rsid w:val="22440422"/>
    <w:rsid w:val="306D7208"/>
    <w:rsid w:val="31A15F24"/>
    <w:rsid w:val="328D4E69"/>
    <w:rsid w:val="32DB92FA"/>
    <w:rsid w:val="35647D48"/>
    <w:rsid w:val="365FC067"/>
    <w:rsid w:val="39363667"/>
    <w:rsid w:val="395347B5"/>
    <w:rsid w:val="39A232A0"/>
    <w:rsid w:val="39E745AA"/>
    <w:rsid w:val="3B5A6BBB"/>
    <w:rsid w:val="3D77BCD7"/>
    <w:rsid w:val="3DF60717"/>
    <w:rsid w:val="3EDA13A6"/>
    <w:rsid w:val="3F606432"/>
    <w:rsid w:val="40E1035D"/>
    <w:rsid w:val="42F058B7"/>
    <w:rsid w:val="436109F6"/>
    <w:rsid w:val="441A38D4"/>
    <w:rsid w:val="4BC77339"/>
    <w:rsid w:val="4BF63BF6"/>
    <w:rsid w:val="4BFCC76B"/>
    <w:rsid w:val="4C9236C5"/>
    <w:rsid w:val="4FBF49EA"/>
    <w:rsid w:val="4FDCBAD5"/>
    <w:rsid w:val="505C172E"/>
    <w:rsid w:val="52F46F0B"/>
    <w:rsid w:val="53D8014D"/>
    <w:rsid w:val="53EA4A0D"/>
    <w:rsid w:val="55E064E0"/>
    <w:rsid w:val="572C6D10"/>
    <w:rsid w:val="5DC34279"/>
    <w:rsid w:val="608816D1"/>
    <w:rsid w:val="60EF4E7F"/>
    <w:rsid w:val="64F5A37E"/>
    <w:rsid w:val="665233C1"/>
    <w:rsid w:val="6AD9688B"/>
    <w:rsid w:val="6D0E3F22"/>
    <w:rsid w:val="6EBF9763"/>
    <w:rsid w:val="6F696CFE"/>
    <w:rsid w:val="71DD7261"/>
    <w:rsid w:val="77E5E68E"/>
    <w:rsid w:val="7AB65B56"/>
    <w:rsid w:val="7BBA99E5"/>
    <w:rsid w:val="7C9011D9"/>
    <w:rsid w:val="7D3BED4D"/>
    <w:rsid w:val="7DC651C5"/>
    <w:rsid w:val="7DF4C17C"/>
    <w:rsid w:val="7FCC2834"/>
    <w:rsid w:val="7FDF7EBC"/>
    <w:rsid w:val="7FEC29CF"/>
    <w:rsid w:val="7FEF7450"/>
    <w:rsid w:val="7FFB59AC"/>
    <w:rsid w:val="9EFF6C4E"/>
    <w:rsid w:val="ADFFD485"/>
    <w:rsid w:val="BAB3FD8B"/>
    <w:rsid w:val="BF6C407A"/>
    <w:rsid w:val="C61F199F"/>
    <w:rsid w:val="DB7417CC"/>
    <w:rsid w:val="E2CF4533"/>
    <w:rsid w:val="EF870CDB"/>
    <w:rsid w:val="EFB79348"/>
    <w:rsid w:val="F17D4D85"/>
    <w:rsid w:val="F7FDA507"/>
    <w:rsid w:val="FBDB13C9"/>
    <w:rsid w:val="FF6E6511"/>
    <w:rsid w:val="FFDD75C2"/>
    <w:rsid w:val="FFF631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line="576" w:lineRule="auto"/>
      <w:outlineLvl w:val="0"/>
    </w:pPr>
    <w:rPr>
      <w:rFonts w:ascii="Times New Roman" w:hAnsi="Times New Roman" w:eastAsia="宋体" w:cs="Times New Roman"/>
      <w:b/>
      <w:kern w:val="44"/>
      <w:sz w:val="44"/>
      <w:szCs w:val="24"/>
    </w:rPr>
  </w:style>
  <w:style w:type="paragraph" w:styleId="3">
    <w:name w:val="heading 2"/>
    <w:basedOn w:val="1"/>
    <w:next w:val="1"/>
    <w:unhideWhenUsed/>
    <w:qFormat/>
    <w:uiPriority w:val="0"/>
    <w:pPr>
      <w:keepNext/>
      <w:keepLines/>
      <w:spacing w:line="560" w:lineRule="exact"/>
      <w:ind w:firstLine="640"/>
      <w:outlineLvl w:val="1"/>
    </w:pPr>
    <w:rPr>
      <w:rFonts w:eastAsia="黑体"/>
      <w:szCs w:val="24"/>
    </w:rPr>
  </w:style>
  <w:style w:type="character" w:default="1" w:styleId="10">
    <w:name w:val="Default Paragraph Font"/>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uiPriority w:val="0"/>
    <w:rPr>
      <w:rFonts w:ascii="Arial" w:hAnsi="Arial" w:eastAsia="Arial" w:cs="Arial"/>
      <w:sz w:val="21"/>
      <w:szCs w:val="21"/>
      <w:lang w:val="en-US" w:eastAsia="en-US" w:bidi="ar-SA"/>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1">
    <w:name w:val="Hyperlink"/>
    <w:basedOn w:val="10"/>
    <w:autoRedefine/>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5291</Words>
  <Characters>5374</Characters>
  <Lines>1</Lines>
  <Paragraphs>1</Paragraphs>
  <TotalTime>4</TotalTime>
  <ScaleCrop>false</ScaleCrop>
  <LinksUpToDate>false</LinksUpToDate>
  <CharactersWithSpaces>5466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2021-09-11T18:41:00Z</dcterms:created>
  <dc:creator>t</dc:creator>
  <cp:lastModifiedBy>朵拉</cp:lastModifiedBy>
  <cp:lastPrinted>2021-10-28T19:30:00Z</cp:lastPrinted>
  <dcterms:modified xsi:type="dcterms:W3CDTF">2024-03-04T03:11:27Z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902F630CE93743BEAD742CADA5BFDE49_13</vt:lpwstr>
  </property>
</Properties>
</file>