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596A5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沧源佤族自治县和平村水轮泵自然村村庄规划说明书</w:t>
      </w:r>
    </w:p>
    <w:p w14:paraId="37FBFB71">
      <w:pPr>
        <w:pStyle w:val="6"/>
        <w:numPr>
          <w:ilvl w:val="0"/>
          <w:numId w:val="0"/>
        </w:numPr>
        <w:ind w:left="640" w:leftChars="0"/>
        <w:rPr>
          <w:rFonts w:hint="eastAsia"/>
          <w:sz w:val="32"/>
          <w:szCs w:val="32"/>
        </w:rPr>
      </w:pPr>
    </w:p>
    <w:p w14:paraId="118E1E69">
      <w:pPr>
        <w:pStyle w:val="6"/>
        <w:numPr>
          <w:ilvl w:val="0"/>
          <w:numId w:val="0"/>
        </w:numPr>
        <w:ind w:left="640" w:leftChars="0"/>
        <w:rPr>
          <w:rFonts w:hint="eastAsia" w:ascii="仿宋" w:hAnsi="仿宋" w:eastAsia="仿宋" w:cs="仿宋"/>
          <w:sz w:val="32"/>
          <w:szCs w:val="32"/>
        </w:rPr>
      </w:pPr>
    </w:p>
    <w:p w14:paraId="36AAC292">
      <w:pPr>
        <w:pStyle w:val="6"/>
        <w:numPr>
          <w:ilvl w:val="0"/>
          <w:numId w:val="0"/>
        </w:numPr>
        <w:ind w:left="640" w:leftChars="0" w:firstLine="319" w:firstLineChars="100"/>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总则</w:t>
      </w:r>
    </w:p>
    <w:p w14:paraId="2A089C92">
      <w:pPr>
        <w:pStyle w:val="6"/>
        <w:numPr>
          <w:ilvl w:val="0"/>
          <w:numId w:val="0"/>
        </w:numPr>
        <w:ind w:firstLine="638" w:firstLineChars="200"/>
        <w:rPr>
          <w:rFonts w:hint="eastAsia" w:ascii="楷体" w:hAnsi="楷体" w:eastAsia="楷体" w:cs="楷体"/>
          <w:sz w:val="32"/>
          <w:szCs w:val="32"/>
        </w:rPr>
      </w:pPr>
      <w:r>
        <w:rPr>
          <w:rFonts w:hint="eastAsia" w:ascii="楷体" w:hAnsi="楷体" w:eastAsia="楷体" w:cs="楷体"/>
          <w:sz w:val="32"/>
          <w:szCs w:val="32"/>
          <w:lang w:eastAsia="zh-CN"/>
        </w:rPr>
        <w:t>（一）</w:t>
      </w:r>
      <w:r>
        <w:rPr>
          <w:rFonts w:hint="eastAsia" w:ascii="楷体" w:hAnsi="楷体" w:eastAsia="楷体" w:cs="楷体"/>
          <w:sz w:val="32"/>
          <w:szCs w:val="32"/>
        </w:rPr>
        <w:t>政策背景</w:t>
      </w:r>
    </w:p>
    <w:p w14:paraId="62EEBB50">
      <w:pPr>
        <w:ind w:firstLine="638" w:firstLineChars="200"/>
        <w:rPr>
          <w:rFonts w:hint="eastAsia" w:ascii="楷体" w:hAnsi="楷体" w:eastAsia="楷体" w:cs="楷体"/>
          <w:sz w:val="32"/>
          <w:szCs w:val="32"/>
        </w:rPr>
      </w:pPr>
      <w:r>
        <w:rPr>
          <w:rFonts w:hint="eastAsia" w:ascii="仿宋" w:hAnsi="仿宋" w:eastAsia="仿宋" w:cs="仿宋"/>
          <w:sz w:val="32"/>
          <w:szCs w:val="32"/>
        </w:rPr>
        <w:t>根据《中共临沧市委  临沧市人民政府印发&lt;关于贯彻乡村振兴战略的实施方案&gt;的通知》精神和《临沧市人民政府办公室印发&lt;关于加快推进村庄规划提升工作方案&gt;》《关于实施临沧市“万名干部规划家乡行动”的通知》要求，按照干部回乡牵头、自然村乡村振兴理事会组织、群众为主体和自上而下、自下而上、上下结合、以下为主的原则，编制和平村委会水轮泵法宝。该自然村规划经2019年3月15日自然村村民代表会议审议表决通过。</w:t>
      </w:r>
      <w:r>
        <w:rPr>
          <w:rFonts w:hint="eastAsia" w:ascii="仿宋" w:hAnsi="仿宋" w:eastAsia="仿宋" w:cs="仿宋"/>
          <w:sz w:val="32"/>
          <w:szCs w:val="32"/>
        </w:rPr>
        <w:cr/>
      </w:r>
      <w:r>
        <w:rPr>
          <w:rFonts w:hint="eastAsia" w:ascii="仿宋" w:hAnsi="仿宋" w:eastAsia="仿宋" w:cs="仿宋"/>
          <w:sz w:val="32"/>
          <w:szCs w:val="32"/>
        </w:rPr>
        <w:t xml:space="preserve">   </w:t>
      </w:r>
      <w:r>
        <w:rPr>
          <w:rFonts w:hint="eastAsia" w:ascii="楷体" w:hAnsi="楷体" w:eastAsia="楷体" w:cs="楷体"/>
          <w:sz w:val="32"/>
          <w:szCs w:val="32"/>
        </w:rPr>
        <w:t>（二）村情概况</w:t>
      </w:r>
    </w:p>
    <w:p w14:paraId="4F3BAA7A">
      <w:pPr>
        <w:ind w:firstLine="638" w:firstLineChars="200"/>
        <w:rPr>
          <w:rFonts w:hint="eastAsia" w:ascii="仿宋" w:hAnsi="仿宋" w:eastAsia="仿宋" w:cs="仿宋"/>
          <w:sz w:val="32"/>
          <w:szCs w:val="32"/>
        </w:rPr>
      </w:pPr>
      <w:r>
        <w:rPr>
          <w:rFonts w:hint="eastAsia" w:ascii="仿宋" w:hAnsi="仿宋" w:eastAsia="仿宋" w:cs="仿宋"/>
          <w:sz w:val="32"/>
          <w:szCs w:val="32"/>
        </w:rPr>
        <w:t>1．地理区位：水轮泵自然村在和平村委会的北面，与耿马的石佛洞接壤。距离村委会3公里，距离镇7公里。</w:t>
      </w:r>
    </w:p>
    <w:p w14:paraId="7F2F161A">
      <w:pPr>
        <w:ind w:firstLine="479" w:firstLineChars="150"/>
        <w:rPr>
          <w:rFonts w:hint="eastAsia" w:ascii="仿宋" w:hAnsi="仿宋" w:eastAsia="仿宋" w:cs="仿宋"/>
          <w:sz w:val="32"/>
          <w:szCs w:val="32"/>
        </w:rPr>
      </w:pPr>
      <w:r>
        <w:rPr>
          <w:rFonts w:hint="eastAsia" w:ascii="仿宋" w:hAnsi="仿宋" w:eastAsia="仿宋" w:cs="仿宋"/>
          <w:sz w:val="32"/>
          <w:szCs w:val="32"/>
        </w:rPr>
        <w:t>2．人口现状：该村现有农户81户，共乡村人口280人，其中农业人口280人，劳动力172人。</w:t>
      </w:r>
      <w:r>
        <w:rPr>
          <w:rFonts w:hint="eastAsia" w:ascii="仿宋" w:hAnsi="仿宋" w:eastAsia="仿宋" w:cs="仿宋"/>
          <w:sz w:val="32"/>
          <w:szCs w:val="32"/>
        </w:rPr>
        <w:cr/>
      </w:r>
      <w:r>
        <w:rPr>
          <w:rFonts w:hint="eastAsia" w:ascii="仿宋" w:hAnsi="仿宋" w:eastAsia="仿宋" w:cs="仿宋"/>
          <w:sz w:val="32"/>
          <w:szCs w:val="32"/>
        </w:rPr>
        <w:t xml:space="preserve">   3．产业现状：该村的主要产业为甘蔗,主要往本镇的糖厂销售。       </w:t>
      </w:r>
    </w:p>
    <w:p w14:paraId="4C5DED78">
      <w:pPr>
        <w:ind w:firstLine="479" w:firstLineChars="150"/>
        <w:rPr>
          <w:rFonts w:hint="eastAsia" w:ascii="仿宋" w:hAnsi="仿宋" w:eastAsia="仿宋" w:cs="仿宋"/>
          <w:sz w:val="32"/>
          <w:szCs w:val="32"/>
        </w:rPr>
      </w:pPr>
      <w:r>
        <w:rPr>
          <w:rFonts w:hint="eastAsia" w:ascii="仿宋" w:hAnsi="仿宋" w:eastAsia="仿宋" w:cs="仿宋"/>
          <w:sz w:val="32"/>
          <w:szCs w:val="32"/>
        </w:rPr>
        <w:t>4． 基础设施：该村</w:t>
      </w:r>
      <w:r>
        <w:rPr>
          <w:rFonts w:hint="eastAsia" w:ascii="仿宋" w:hAnsi="仿宋" w:eastAsia="仿宋" w:cs="仿宋"/>
          <w:sz w:val="32"/>
          <w:szCs w:val="32"/>
          <w:lang w:eastAsia="zh-CN"/>
        </w:rPr>
        <w:t>截至</w:t>
      </w:r>
      <w:r>
        <w:rPr>
          <w:rFonts w:hint="eastAsia" w:ascii="仿宋" w:hAnsi="仿宋" w:eastAsia="仿宋" w:cs="仿宋"/>
          <w:sz w:val="32"/>
          <w:szCs w:val="32"/>
        </w:rPr>
        <w:t>2018年底，全村有81户通自来水，无农户饮用井水，有81户通电，拥有电视机农户78户 ，安装固定电话或拥有移动电话的农户数77户，其中拥有移动电话农户数77户。全村81户农户家家通自来水，饮水安全得到了保障，</w:t>
      </w:r>
    </w:p>
    <w:p w14:paraId="6B3A2F33">
      <w:pPr>
        <w:ind w:firstLine="638" w:firstLineChars="200"/>
        <w:rPr>
          <w:rFonts w:hint="eastAsia" w:ascii="楷体" w:hAnsi="楷体" w:eastAsia="楷体" w:cs="楷体"/>
          <w:sz w:val="32"/>
          <w:szCs w:val="32"/>
        </w:rPr>
      </w:pPr>
      <w:r>
        <w:rPr>
          <w:rFonts w:hint="eastAsia" w:ascii="仿宋" w:hAnsi="仿宋" w:eastAsia="仿宋" w:cs="仿宋"/>
          <w:sz w:val="32"/>
          <w:szCs w:val="32"/>
        </w:rPr>
        <w:t>该村到2018年底，有29户居住砖木结构住房。有一座基督教堂和一棵古树。有自然村活动室一间，一个篮球场。</w:t>
      </w:r>
      <w:r>
        <w:rPr>
          <w:rFonts w:hint="eastAsia" w:ascii="仿宋" w:hAnsi="仿宋" w:eastAsia="仿宋" w:cs="仿宋"/>
          <w:sz w:val="32"/>
          <w:szCs w:val="32"/>
        </w:rPr>
        <w:cr/>
      </w:r>
      <w:r>
        <w:rPr>
          <w:rFonts w:hint="eastAsia" w:ascii="仿宋" w:hAnsi="仿宋" w:eastAsia="仿宋" w:cs="仿宋"/>
          <w:sz w:val="32"/>
          <w:szCs w:val="32"/>
        </w:rPr>
        <w:t xml:space="preserve"> </w:t>
      </w:r>
      <w:r>
        <w:rPr>
          <w:rFonts w:hint="eastAsia" w:ascii="楷体" w:hAnsi="楷体" w:eastAsia="楷体" w:cs="楷体"/>
          <w:sz w:val="32"/>
          <w:szCs w:val="32"/>
        </w:rPr>
        <w:t xml:space="preserve">  (三)规划内容</w:t>
      </w:r>
    </w:p>
    <w:p w14:paraId="6194CE65">
      <w:pPr>
        <w:ind w:firstLine="638" w:firstLineChars="200"/>
        <w:rPr>
          <w:rFonts w:hint="eastAsia" w:ascii="仿宋" w:hAnsi="仿宋" w:eastAsia="仿宋" w:cs="仿宋"/>
          <w:sz w:val="32"/>
          <w:szCs w:val="32"/>
        </w:rPr>
      </w:pPr>
      <w:r>
        <w:rPr>
          <w:rFonts w:hint="eastAsia" w:ascii="仿宋" w:hAnsi="仿宋" w:eastAsia="仿宋" w:cs="仿宋"/>
          <w:sz w:val="32"/>
          <w:szCs w:val="32"/>
        </w:rPr>
        <w:t>规划项目计划投资金</w:t>
      </w:r>
      <w:r>
        <w:rPr>
          <w:rFonts w:hint="eastAsia" w:ascii="仿宋" w:hAnsi="仿宋" w:eastAsia="仿宋" w:cs="仿宋"/>
          <w:sz w:val="32"/>
          <w:szCs w:val="32"/>
          <w:lang w:val="en-US" w:eastAsia="zh-CN"/>
        </w:rPr>
        <w:t>172.64</w:t>
      </w:r>
      <w:r>
        <w:rPr>
          <w:rFonts w:hint="eastAsia" w:ascii="仿宋" w:hAnsi="仿宋" w:eastAsia="仿宋" w:cs="仿宋"/>
          <w:sz w:val="32"/>
          <w:szCs w:val="32"/>
        </w:rPr>
        <w:t xml:space="preserve">万元. </w:t>
      </w:r>
    </w:p>
    <w:p w14:paraId="035416B9">
      <w:pPr>
        <w:ind w:left="209" w:leftChars="100" w:firstLine="319" w:firstLineChars="100"/>
        <w:rPr>
          <w:rFonts w:hint="eastAsia" w:ascii="仿宋" w:hAnsi="仿宋" w:eastAsia="仿宋" w:cs="仿宋"/>
          <w:sz w:val="32"/>
          <w:szCs w:val="32"/>
        </w:rPr>
      </w:pPr>
      <w:r>
        <w:rPr>
          <w:rFonts w:hint="eastAsia" w:ascii="仿宋" w:hAnsi="仿宋" w:eastAsia="仿宋" w:cs="仿宋"/>
          <w:sz w:val="32"/>
          <w:szCs w:val="32"/>
        </w:rPr>
        <w:t>1．道路交通：概算总投资</w:t>
      </w:r>
      <w:r>
        <w:rPr>
          <w:rFonts w:hint="eastAsia" w:ascii="仿宋" w:hAnsi="仿宋" w:eastAsia="仿宋" w:cs="仿宋"/>
          <w:sz w:val="32"/>
          <w:szCs w:val="32"/>
          <w:lang w:val="en-US" w:eastAsia="zh-CN"/>
        </w:rPr>
        <w:t>74</w:t>
      </w:r>
      <w:r>
        <w:rPr>
          <w:rFonts w:hint="eastAsia" w:ascii="仿宋" w:hAnsi="仿宋" w:eastAsia="仿宋" w:cs="仿宋"/>
          <w:sz w:val="32"/>
          <w:szCs w:val="32"/>
        </w:rPr>
        <w:t>万元。</w:t>
      </w:r>
    </w:p>
    <w:p w14:paraId="31D4131F">
      <w:pPr>
        <w:ind w:left="209" w:leftChars="100" w:firstLine="319" w:firstLineChars="100"/>
        <w:rPr>
          <w:rFonts w:hint="eastAsia" w:ascii="仿宋" w:hAnsi="仿宋" w:eastAsia="仿宋" w:cs="仿宋"/>
          <w:sz w:val="32"/>
          <w:szCs w:val="32"/>
        </w:rPr>
      </w:pPr>
      <w:bookmarkStart w:id="0" w:name="OLE_LINK16"/>
      <w:r>
        <w:rPr>
          <w:rFonts w:hint="eastAsia" w:ascii="仿宋" w:hAnsi="仿宋" w:eastAsia="仿宋" w:cs="仿宋"/>
          <w:sz w:val="32"/>
          <w:szCs w:val="32"/>
        </w:rPr>
        <w:t>（1）建设村</w:t>
      </w:r>
      <w:r>
        <w:rPr>
          <w:rFonts w:hint="eastAsia" w:ascii="仿宋" w:hAnsi="仿宋" w:eastAsia="仿宋" w:cs="仿宋"/>
          <w:sz w:val="32"/>
          <w:szCs w:val="32"/>
          <w:lang w:eastAsia="zh-CN"/>
        </w:rPr>
        <w:t>西</w:t>
      </w:r>
      <w:r>
        <w:rPr>
          <w:rFonts w:hint="eastAsia" w:ascii="仿宋" w:hAnsi="仿宋" w:eastAsia="仿宋" w:cs="仿宋"/>
          <w:sz w:val="32"/>
          <w:szCs w:val="32"/>
        </w:rPr>
        <w:t>北方向</w:t>
      </w:r>
      <w:r>
        <w:rPr>
          <w:rFonts w:hint="eastAsia" w:ascii="仿宋" w:hAnsi="仿宋" w:eastAsia="仿宋" w:cs="仿宋"/>
          <w:sz w:val="32"/>
          <w:szCs w:val="32"/>
          <w:lang w:eastAsia="zh-CN"/>
        </w:rPr>
        <w:t>尹尼倒</w:t>
      </w:r>
      <w:r>
        <w:rPr>
          <w:rFonts w:hint="eastAsia" w:ascii="仿宋" w:hAnsi="仿宋" w:eastAsia="仿宋" w:cs="仿宋"/>
          <w:sz w:val="32"/>
          <w:szCs w:val="32"/>
          <w:lang w:val="en-US" w:eastAsia="zh-CN"/>
        </w:rPr>
        <w:t>--</w:t>
      </w:r>
      <w:r>
        <w:rPr>
          <w:rFonts w:hint="eastAsia" w:ascii="仿宋" w:hAnsi="仿宋" w:eastAsia="仿宋" w:cs="仿宋"/>
          <w:sz w:val="32"/>
          <w:szCs w:val="32"/>
        </w:rPr>
        <w:t>李泉家到东边的转弯处硬板主干道1条，长</w:t>
      </w:r>
      <w:r>
        <w:rPr>
          <w:rFonts w:hint="eastAsia" w:ascii="仿宋" w:hAnsi="仿宋" w:eastAsia="仿宋" w:cs="仿宋"/>
          <w:sz w:val="32"/>
          <w:szCs w:val="32"/>
          <w:lang w:val="en-US" w:eastAsia="zh-CN"/>
        </w:rPr>
        <w:t>5</w:t>
      </w:r>
      <w:r>
        <w:rPr>
          <w:rFonts w:hint="eastAsia" w:ascii="仿宋" w:hAnsi="仿宋" w:eastAsia="仿宋" w:cs="仿宋"/>
          <w:sz w:val="32"/>
          <w:szCs w:val="32"/>
        </w:rPr>
        <w:t>00m，宽度4.0m，厚度20cm，面积1</w:t>
      </w:r>
      <w:r>
        <w:rPr>
          <w:rFonts w:hint="eastAsia" w:ascii="仿宋" w:hAnsi="仿宋" w:eastAsia="仿宋" w:cs="仿宋"/>
          <w:sz w:val="32"/>
          <w:szCs w:val="32"/>
          <w:lang w:val="en-US" w:eastAsia="zh-CN"/>
        </w:rPr>
        <w:t>5</w:t>
      </w:r>
      <w:r>
        <w:rPr>
          <w:rFonts w:hint="eastAsia" w:ascii="仿宋" w:hAnsi="仿宋" w:eastAsia="仿宋" w:cs="仿宋"/>
          <w:sz w:val="32"/>
          <w:szCs w:val="32"/>
        </w:rPr>
        <w:t>00平方米，投资单价200元/平方米，概算投资</w:t>
      </w:r>
      <w:r>
        <w:rPr>
          <w:rFonts w:hint="eastAsia" w:ascii="仿宋" w:hAnsi="仿宋" w:eastAsia="仿宋" w:cs="仿宋"/>
          <w:sz w:val="32"/>
          <w:szCs w:val="32"/>
          <w:lang w:val="en-US" w:eastAsia="zh-CN"/>
        </w:rPr>
        <w:t>30</w:t>
      </w:r>
      <w:r>
        <w:rPr>
          <w:rFonts w:hint="eastAsia" w:ascii="仿宋" w:hAnsi="仿宋" w:eastAsia="仿宋" w:cs="仿宋"/>
          <w:sz w:val="32"/>
          <w:szCs w:val="32"/>
        </w:rPr>
        <w:t>万元。</w:t>
      </w:r>
    </w:p>
    <w:bookmarkEnd w:id="0"/>
    <w:p w14:paraId="4B12EA6F">
      <w:pPr>
        <w:ind w:left="209" w:leftChars="100" w:firstLine="319" w:firstLineChars="100"/>
        <w:rPr>
          <w:rFonts w:hint="eastAsia" w:ascii="仿宋" w:hAnsi="仿宋" w:eastAsia="仿宋" w:cs="仿宋"/>
          <w:sz w:val="32"/>
          <w:szCs w:val="32"/>
        </w:rPr>
      </w:pPr>
      <w:r>
        <w:rPr>
          <w:rFonts w:hint="eastAsia" w:ascii="仿宋" w:hAnsi="仿宋" w:eastAsia="仿宋" w:cs="仿宋"/>
          <w:sz w:val="32"/>
          <w:szCs w:val="32"/>
        </w:rPr>
        <w:t>（2）建设村北面通向石佛洞方向硬板主干道1条，长300m，宽度4.0m，厚度20cm，面积1200平方米，投资单价200元/平方米，概算投资24万元</w:t>
      </w:r>
    </w:p>
    <w:p w14:paraId="1CEEBC33">
      <w:pPr>
        <w:ind w:left="209" w:leftChars="100" w:firstLine="319" w:firstLineChars="100"/>
        <w:rPr>
          <w:rFonts w:hint="eastAsia" w:ascii="仿宋" w:hAnsi="仿宋" w:eastAsia="仿宋" w:cs="仿宋"/>
          <w:sz w:val="32"/>
          <w:szCs w:val="32"/>
        </w:rPr>
      </w:pPr>
      <w:r>
        <w:rPr>
          <w:rFonts w:hint="eastAsia" w:ascii="仿宋" w:hAnsi="仿宋" w:eastAsia="仿宋" w:cs="仿宋"/>
          <w:sz w:val="32"/>
          <w:szCs w:val="32"/>
        </w:rPr>
        <w:t>（3）建设村西北</w:t>
      </w:r>
      <w:r>
        <w:rPr>
          <w:rFonts w:hint="eastAsia" w:ascii="仿宋" w:hAnsi="仿宋" w:eastAsia="仿宋" w:cs="仿宋"/>
          <w:sz w:val="32"/>
          <w:szCs w:val="32"/>
          <w:lang w:eastAsia="zh-CN"/>
        </w:rPr>
        <w:t>尹岩块</w:t>
      </w:r>
      <w:r>
        <w:rPr>
          <w:rFonts w:hint="eastAsia" w:ascii="仿宋" w:hAnsi="仿宋" w:eastAsia="仿宋" w:cs="仿宋"/>
          <w:sz w:val="32"/>
          <w:szCs w:val="32"/>
          <w:lang w:val="en-US" w:eastAsia="zh-CN"/>
        </w:rPr>
        <w:t>---</w:t>
      </w:r>
      <w:r>
        <w:rPr>
          <w:rFonts w:hint="eastAsia" w:ascii="仿宋" w:hAnsi="仿宋" w:eastAsia="仿宋" w:cs="仿宋"/>
          <w:sz w:val="32"/>
          <w:szCs w:val="32"/>
        </w:rPr>
        <w:t>尹块改家</w:t>
      </w:r>
      <w:r>
        <w:rPr>
          <w:rFonts w:hint="eastAsia" w:ascii="仿宋" w:hAnsi="仿宋" w:eastAsia="仿宋" w:cs="仿宋"/>
          <w:sz w:val="32"/>
          <w:szCs w:val="32"/>
          <w:lang w:val="en-US" w:eastAsia="zh-CN"/>
        </w:rPr>
        <w:t>---墓地</w:t>
      </w:r>
      <w:r>
        <w:rPr>
          <w:rFonts w:hint="eastAsia" w:ascii="仿宋" w:hAnsi="仿宋" w:eastAsia="仿宋" w:cs="仿宋"/>
          <w:sz w:val="32"/>
          <w:szCs w:val="32"/>
        </w:rPr>
        <w:t>入户道1条，长</w:t>
      </w:r>
      <w:r>
        <w:rPr>
          <w:rFonts w:hint="eastAsia" w:ascii="仿宋" w:hAnsi="仿宋" w:eastAsia="仿宋" w:cs="仿宋"/>
          <w:sz w:val="32"/>
          <w:szCs w:val="32"/>
          <w:lang w:val="en-US" w:eastAsia="zh-CN"/>
        </w:rPr>
        <w:t>2</w:t>
      </w:r>
      <w:r>
        <w:rPr>
          <w:rFonts w:hint="eastAsia" w:ascii="仿宋" w:hAnsi="仿宋" w:eastAsia="仿宋" w:cs="仿宋"/>
          <w:sz w:val="32"/>
          <w:szCs w:val="32"/>
        </w:rPr>
        <w:t>00m，宽度2.5m，厚度15cm，面积</w:t>
      </w:r>
      <w:r>
        <w:rPr>
          <w:rFonts w:hint="eastAsia" w:ascii="仿宋" w:hAnsi="仿宋" w:eastAsia="仿宋" w:cs="仿宋"/>
          <w:sz w:val="32"/>
          <w:szCs w:val="32"/>
          <w:lang w:val="en-US" w:eastAsia="zh-CN"/>
        </w:rPr>
        <w:t>50</w:t>
      </w:r>
      <w:r>
        <w:rPr>
          <w:rFonts w:hint="eastAsia" w:ascii="仿宋" w:hAnsi="仿宋" w:eastAsia="仿宋" w:cs="仿宋"/>
          <w:sz w:val="32"/>
          <w:szCs w:val="32"/>
        </w:rPr>
        <w:t>0平方米，投资单价200元/平方米，概算投资</w:t>
      </w:r>
      <w:r>
        <w:rPr>
          <w:rFonts w:hint="eastAsia" w:ascii="仿宋" w:hAnsi="仿宋" w:eastAsia="仿宋" w:cs="仿宋"/>
          <w:sz w:val="32"/>
          <w:szCs w:val="32"/>
          <w:lang w:val="en-US" w:eastAsia="zh-CN"/>
        </w:rPr>
        <w:t>10</w:t>
      </w:r>
      <w:r>
        <w:rPr>
          <w:rFonts w:hint="eastAsia" w:ascii="仿宋" w:hAnsi="仿宋" w:eastAsia="仿宋" w:cs="仿宋"/>
          <w:sz w:val="32"/>
          <w:szCs w:val="32"/>
        </w:rPr>
        <w:t>万元</w:t>
      </w:r>
    </w:p>
    <w:p w14:paraId="1FB0CBF5">
      <w:pPr>
        <w:ind w:left="209" w:leftChars="100" w:firstLine="319" w:firstLineChars="100"/>
        <w:rPr>
          <w:rFonts w:hint="eastAsia" w:ascii="仿宋" w:hAnsi="仿宋" w:eastAsia="仿宋" w:cs="仿宋"/>
          <w:sz w:val="32"/>
          <w:szCs w:val="32"/>
        </w:rPr>
      </w:pPr>
      <w:r>
        <w:rPr>
          <w:rFonts w:hint="eastAsia" w:ascii="仿宋" w:hAnsi="仿宋" w:eastAsia="仿宋" w:cs="仿宋"/>
          <w:sz w:val="32"/>
          <w:szCs w:val="32"/>
        </w:rPr>
        <w:t>（4）建设赵</w:t>
      </w:r>
      <w:r>
        <w:rPr>
          <w:rFonts w:hint="eastAsia" w:ascii="仿宋" w:hAnsi="仿宋" w:eastAsia="仿宋" w:cs="仿宋"/>
          <w:sz w:val="32"/>
          <w:szCs w:val="32"/>
          <w:lang w:eastAsia="zh-CN"/>
        </w:rPr>
        <w:t>岩改</w:t>
      </w:r>
      <w:r>
        <w:rPr>
          <w:rFonts w:hint="eastAsia" w:ascii="仿宋" w:hAnsi="仿宋" w:eastAsia="仿宋" w:cs="仿宋"/>
          <w:sz w:val="32"/>
          <w:szCs w:val="32"/>
          <w:lang w:val="en-US" w:eastAsia="zh-CN"/>
        </w:rPr>
        <w:t>--尹艾嘎--鲍依保家</w:t>
      </w:r>
      <w:r>
        <w:rPr>
          <w:rFonts w:hint="eastAsia" w:ascii="仿宋" w:hAnsi="仿宋" w:eastAsia="仿宋" w:cs="仿宋"/>
          <w:sz w:val="32"/>
          <w:szCs w:val="32"/>
        </w:rPr>
        <w:t>入户路一条，长</w:t>
      </w:r>
      <w:r>
        <w:rPr>
          <w:rFonts w:hint="eastAsia" w:ascii="仿宋" w:hAnsi="仿宋" w:eastAsia="仿宋" w:cs="仿宋"/>
          <w:sz w:val="32"/>
          <w:szCs w:val="32"/>
          <w:lang w:val="en-US" w:eastAsia="zh-CN"/>
        </w:rPr>
        <w:t>1</w:t>
      </w:r>
      <w:r>
        <w:rPr>
          <w:rFonts w:hint="eastAsia" w:ascii="仿宋" w:hAnsi="仿宋" w:eastAsia="仿宋" w:cs="仿宋"/>
          <w:sz w:val="32"/>
          <w:szCs w:val="32"/>
        </w:rPr>
        <w:t>50m，宽度1.5m，厚度15cm，面积75平方米，投资单价200元/平方米，概算投资</w:t>
      </w:r>
      <w:r>
        <w:rPr>
          <w:rFonts w:hint="eastAsia" w:ascii="仿宋" w:hAnsi="仿宋" w:eastAsia="仿宋" w:cs="仿宋"/>
          <w:sz w:val="32"/>
          <w:szCs w:val="32"/>
          <w:lang w:val="en-US" w:eastAsia="zh-CN"/>
        </w:rPr>
        <w:t>4</w:t>
      </w:r>
      <w:r>
        <w:rPr>
          <w:rFonts w:hint="eastAsia" w:ascii="仿宋" w:hAnsi="仿宋" w:eastAsia="仿宋" w:cs="仿宋"/>
          <w:sz w:val="32"/>
          <w:szCs w:val="32"/>
        </w:rPr>
        <w:t>.5万元。</w:t>
      </w:r>
    </w:p>
    <w:p w14:paraId="2DE581A0">
      <w:pPr>
        <w:ind w:left="209" w:leftChars="100" w:firstLine="319" w:firstLineChars="100"/>
        <w:rPr>
          <w:rFonts w:hint="eastAsia" w:ascii="仿宋" w:hAnsi="仿宋" w:eastAsia="仿宋" w:cs="仿宋"/>
          <w:sz w:val="32"/>
          <w:szCs w:val="32"/>
        </w:rPr>
      </w:pPr>
      <w:r>
        <w:rPr>
          <w:rFonts w:hint="eastAsia" w:ascii="仿宋" w:hAnsi="仿宋" w:eastAsia="仿宋" w:cs="仿宋"/>
          <w:sz w:val="32"/>
          <w:szCs w:val="32"/>
        </w:rPr>
        <w:t>（5）建设赵荣到家到赵块搞家入户路一条，长10m，宽度1m，厚度15cm，面积10平方米，投资单价200元/平方米，概算投资2000元。</w:t>
      </w:r>
    </w:p>
    <w:p w14:paraId="31DF97AD">
      <w:pPr>
        <w:ind w:left="209" w:leftChars="100" w:firstLine="319" w:firstLineChars="1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6</w:t>
      </w:r>
      <w:r>
        <w:rPr>
          <w:rFonts w:hint="eastAsia" w:ascii="仿宋" w:hAnsi="仿宋" w:eastAsia="仿宋" w:cs="仿宋"/>
          <w:sz w:val="32"/>
          <w:szCs w:val="32"/>
        </w:rPr>
        <w:t>）建设赵</w:t>
      </w:r>
      <w:r>
        <w:rPr>
          <w:rFonts w:hint="eastAsia" w:ascii="仿宋" w:hAnsi="仿宋" w:eastAsia="仿宋" w:cs="仿宋"/>
          <w:sz w:val="32"/>
          <w:szCs w:val="32"/>
          <w:lang w:eastAsia="zh-CN"/>
        </w:rPr>
        <w:t>赛那</w:t>
      </w:r>
      <w:r>
        <w:rPr>
          <w:rFonts w:hint="eastAsia" w:ascii="仿宋" w:hAnsi="仿宋" w:eastAsia="仿宋" w:cs="仿宋"/>
          <w:sz w:val="32"/>
          <w:szCs w:val="32"/>
        </w:rPr>
        <w:t>家到</w:t>
      </w:r>
      <w:r>
        <w:rPr>
          <w:rFonts w:hint="eastAsia" w:ascii="仿宋" w:hAnsi="仿宋" w:eastAsia="仿宋" w:cs="仿宋"/>
          <w:sz w:val="32"/>
          <w:szCs w:val="32"/>
          <w:lang w:eastAsia="zh-CN"/>
        </w:rPr>
        <w:t>球场</w:t>
      </w:r>
      <w:r>
        <w:rPr>
          <w:rFonts w:hint="eastAsia" w:ascii="仿宋" w:hAnsi="仿宋" w:eastAsia="仿宋" w:cs="仿宋"/>
          <w:sz w:val="32"/>
          <w:szCs w:val="32"/>
        </w:rPr>
        <w:t>入户路一条，长</w:t>
      </w:r>
      <w:r>
        <w:rPr>
          <w:rFonts w:hint="eastAsia" w:ascii="仿宋" w:hAnsi="仿宋" w:eastAsia="仿宋" w:cs="仿宋"/>
          <w:sz w:val="32"/>
          <w:szCs w:val="32"/>
          <w:lang w:val="en-US" w:eastAsia="zh-CN"/>
        </w:rPr>
        <w:t>9</w:t>
      </w:r>
      <w:r>
        <w:rPr>
          <w:rFonts w:hint="eastAsia" w:ascii="仿宋" w:hAnsi="仿宋" w:eastAsia="仿宋" w:cs="仿宋"/>
          <w:sz w:val="32"/>
          <w:szCs w:val="32"/>
        </w:rPr>
        <w:t>0m，宽度1m，厚度15cm，面积</w:t>
      </w:r>
      <w:r>
        <w:rPr>
          <w:rFonts w:hint="eastAsia" w:ascii="仿宋" w:hAnsi="仿宋" w:eastAsia="仿宋" w:cs="仿宋"/>
          <w:sz w:val="32"/>
          <w:szCs w:val="32"/>
          <w:lang w:val="en-US" w:eastAsia="zh-CN"/>
        </w:rPr>
        <w:t>9</w:t>
      </w:r>
      <w:r>
        <w:rPr>
          <w:rFonts w:hint="eastAsia" w:ascii="仿宋" w:hAnsi="仿宋" w:eastAsia="仿宋" w:cs="仿宋"/>
          <w:sz w:val="32"/>
          <w:szCs w:val="32"/>
        </w:rPr>
        <w:t>0平方米，投资单价200元/平方米，概算投资</w:t>
      </w:r>
      <w:r>
        <w:rPr>
          <w:rFonts w:hint="eastAsia" w:ascii="仿宋" w:hAnsi="仿宋" w:eastAsia="仿宋" w:cs="仿宋"/>
          <w:sz w:val="32"/>
          <w:szCs w:val="32"/>
          <w:lang w:val="en-US" w:eastAsia="zh-CN"/>
        </w:rPr>
        <w:t>1.8万</w:t>
      </w:r>
      <w:r>
        <w:rPr>
          <w:rFonts w:hint="eastAsia" w:ascii="仿宋" w:hAnsi="仿宋" w:eastAsia="仿宋" w:cs="仿宋"/>
          <w:sz w:val="32"/>
          <w:szCs w:val="32"/>
        </w:rPr>
        <w:t>元。</w:t>
      </w:r>
    </w:p>
    <w:p w14:paraId="0B74D8A2">
      <w:pPr>
        <w:ind w:left="209" w:leftChars="100" w:firstLine="319" w:firstLineChars="1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7</w:t>
      </w:r>
      <w:r>
        <w:rPr>
          <w:rFonts w:hint="eastAsia" w:ascii="仿宋" w:hAnsi="仿宋" w:eastAsia="仿宋" w:cs="仿宋"/>
          <w:sz w:val="32"/>
          <w:szCs w:val="32"/>
        </w:rPr>
        <w:t>）建设</w:t>
      </w:r>
      <w:r>
        <w:rPr>
          <w:rFonts w:hint="eastAsia" w:ascii="仿宋" w:hAnsi="仿宋" w:eastAsia="仿宋" w:cs="仿宋"/>
          <w:sz w:val="32"/>
          <w:szCs w:val="32"/>
          <w:lang w:eastAsia="zh-CN"/>
        </w:rPr>
        <w:t>赵岩荣</w:t>
      </w:r>
      <w:r>
        <w:rPr>
          <w:rFonts w:hint="eastAsia" w:ascii="仿宋" w:hAnsi="仿宋" w:eastAsia="仿宋" w:cs="仿宋"/>
          <w:sz w:val="32"/>
          <w:szCs w:val="32"/>
        </w:rPr>
        <w:t>家到</w:t>
      </w:r>
      <w:r>
        <w:rPr>
          <w:rFonts w:hint="eastAsia" w:ascii="仿宋" w:hAnsi="仿宋" w:eastAsia="仿宋" w:cs="仿宋"/>
          <w:sz w:val="32"/>
          <w:szCs w:val="32"/>
          <w:lang w:eastAsia="zh-CN"/>
        </w:rPr>
        <w:t>赵尼祥家</w:t>
      </w:r>
      <w:r>
        <w:rPr>
          <w:rFonts w:hint="eastAsia" w:ascii="仿宋" w:hAnsi="仿宋" w:eastAsia="仿宋" w:cs="仿宋"/>
          <w:sz w:val="32"/>
          <w:szCs w:val="32"/>
        </w:rPr>
        <w:t>入户路一条，长</w:t>
      </w:r>
      <w:r>
        <w:rPr>
          <w:rFonts w:hint="eastAsia" w:ascii="仿宋" w:hAnsi="仿宋" w:eastAsia="仿宋" w:cs="仿宋"/>
          <w:sz w:val="32"/>
          <w:szCs w:val="32"/>
          <w:lang w:val="en-US" w:eastAsia="zh-CN"/>
        </w:rPr>
        <w:t>7</w:t>
      </w:r>
      <w:r>
        <w:rPr>
          <w:rFonts w:hint="eastAsia" w:ascii="仿宋" w:hAnsi="仿宋" w:eastAsia="仿宋" w:cs="仿宋"/>
          <w:sz w:val="32"/>
          <w:szCs w:val="32"/>
        </w:rPr>
        <w:t>0m，宽度1m，厚度15cm，面积</w:t>
      </w:r>
      <w:r>
        <w:rPr>
          <w:rFonts w:hint="eastAsia" w:ascii="仿宋" w:hAnsi="仿宋" w:eastAsia="仿宋" w:cs="仿宋"/>
          <w:sz w:val="32"/>
          <w:szCs w:val="32"/>
          <w:lang w:val="en-US" w:eastAsia="zh-CN"/>
        </w:rPr>
        <w:t>7</w:t>
      </w:r>
      <w:r>
        <w:rPr>
          <w:rFonts w:hint="eastAsia" w:ascii="仿宋" w:hAnsi="仿宋" w:eastAsia="仿宋" w:cs="仿宋"/>
          <w:sz w:val="32"/>
          <w:szCs w:val="32"/>
        </w:rPr>
        <w:t>0平方米，投资单价200元/平方米，概算投资</w:t>
      </w:r>
      <w:r>
        <w:rPr>
          <w:rFonts w:hint="eastAsia" w:ascii="仿宋" w:hAnsi="仿宋" w:eastAsia="仿宋" w:cs="仿宋"/>
          <w:sz w:val="32"/>
          <w:szCs w:val="32"/>
          <w:lang w:val="en-US" w:eastAsia="zh-CN"/>
        </w:rPr>
        <w:t>1.4万</w:t>
      </w:r>
      <w:r>
        <w:rPr>
          <w:rFonts w:hint="eastAsia" w:ascii="仿宋" w:hAnsi="仿宋" w:eastAsia="仿宋" w:cs="仿宋"/>
          <w:sz w:val="32"/>
          <w:szCs w:val="32"/>
        </w:rPr>
        <w:t>元。</w:t>
      </w:r>
    </w:p>
    <w:p w14:paraId="3158978D">
      <w:pPr>
        <w:ind w:firstLine="319" w:firstLineChars="1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8</w:t>
      </w:r>
      <w:r>
        <w:rPr>
          <w:rFonts w:hint="eastAsia" w:ascii="仿宋" w:hAnsi="仿宋" w:eastAsia="仿宋" w:cs="仿宋"/>
          <w:sz w:val="32"/>
          <w:szCs w:val="32"/>
        </w:rPr>
        <w:t>）建设</w:t>
      </w:r>
      <w:r>
        <w:rPr>
          <w:rFonts w:hint="eastAsia" w:ascii="仿宋" w:hAnsi="仿宋" w:eastAsia="仿宋" w:cs="仿宋"/>
          <w:sz w:val="32"/>
          <w:szCs w:val="32"/>
          <w:lang w:eastAsia="zh-CN"/>
        </w:rPr>
        <w:t>尹荣搞</w:t>
      </w:r>
      <w:r>
        <w:rPr>
          <w:rFonts w:hint="eastAsia" w:ascii="仿宋" w:hAnsi="仿宋" w:eastAsia="仿宋" w:cs="仿宋"/>
          <w:sz w:val="32"/>
          <w:szCs w:val="32"/>
        </w:rPr>
        <w:t>到</w:t>
      </w:r>
      <w:r>
        <w:rPr>
          <w:rFonts w:hint="eastAsia" w:ascii="仿宋" w:hAnsi="仿宋" w:eastAsia="仿宋" w:cs="仿宋"/>
          <w:sz w:val="32"/>
          <w:szCs w:val="32"/>
          <w:lang w:eastAsia="zh-CN"/>
        </w:rPr>
        <w:t>赵赛那家</w:t>
      </w:r>
      <w:r>
        <w:rPr>
          <w:rFonts w:hint="eastAsia" w:ascii="仿宋" w:hAnsi="仿宋" w:eastAsia="仿宋" w:cs="仿宋"/>
          <w:sz w:val="32"/>
          <w:szCs w:val="32"/>
        </w:rPr>
        <w:t>入户路一条，长</w:t>
      </w:r>
      <w:r>
        <w:rPr>
          <w:rFonts w:hint="eastAsia" w:ascii="仿宋" w:hAnsi="仿宋" w:eastAsia="仿宋" w:cs="仿宋"/>
          <w:sz w:val="32"/>
          <w:szCs w:val="32"/>
          <w:lang w:val="en-US" w:eastAsia="zh-CN"/>
        </w:rPr>
        <w:t>79</w:t>
      </w:r>
      <w:r>
        <w:rPr>
          <w:rFonts w:hint="eastAsia" w:ascii="仿宋" w:hAnsi="仿宋" w:eastAsia="仿宋" w:cs="仿宋"/>
          <w:sz w:val="32"/>
          <w:szCs w:val="32"/>
        </w:rPr>
        <w:t>0m，宽度1m，厚度15cm，面积</w:t>
      </w:r>
      <w:r>
        <w:rPr>
          <w:rFonts w:hint="eastAsia" w:ascii="仿宋" w:hAnsi="仿宋" w:eastAsia="仿宋" w:cs="仿宋"/>
          <w:sz w:val="32"/>
          <w:szCs w:val="32"/>
          <w:lang w:val="en-US" w:eastAsia="zh-CN"/>
        </w:rPr>
        <w:t>9</w:t>
      </w:r>
      <w:r>
        <w:rPr>
          <w:rFonts w:hint="eastAsia" w:ascii="仿宋" w:hAnsi="仿宋" w:eastAsia="仿宋" w:cs="仿宋"/>
          <w:sz w:val="32"/>
          <w:szCs w:val="32"/>
        </w:rPr>
        <w:t>0平方米，投资单价200元/平方米，概算投资</w:t>
      </w:r>
      <w:r>
        <w:rPr>
          <w:rFonts w:hint="eastAsia" w:ascii="仿宋" w:hAnsi="仿宋" w:eastAsia="仿宋" w:cs="仿宋"/>
          <w:sz w:val="32"/>
          <w:szCs w:val="32"/>
          <w:lang w:val="en-US" w:eastAsia="zh-CN"/>
        </w:rPr>
        <w:t>1.8万</w:t>
      </w:r>
      <w:r>
        <w:rPr>
          <w:rFonts w:hint="eastAsia" w:ascii="仿宋" w:hAnsi="仿宋" w:eastAsia="仿宋" w:cs="仿宋"/>
          <w:sz w:val="32"/>
          <w:szCs w:val="32"/>
        </w:rPr>
        <w:t>元。</w:t>
      </w:r>
    </w:p>
    <w:p w14:paraId="16130E40">
      <w:pPr>
        <w:ind w:firstLine="319" w:firstLineChars="100"/>
        <w:rPr>
          <w:rFonts w:hint="eastAsia" w:ascii="仿宋" w:hAnsi="仿宋" w:eastAsia="仿宋" w:cs="仿宋"/>
          <w:sz w:val="32"/>
          <w:szCs w:val="32"/>
        </w:rPr>
      </w:pPr>
      <w:r>
        <w:rPr>
          <w:rFonts w:hint="eastAsia" w:ascii="仿宋" w:hAnsi="仿宋" w:eastAsia="仿宋" w:cs="仿宋"/>
          <w:sz w:val="32"/>
          <w:szCs w:val="32"/>
        </w:rPr>
        <w:t>2．排水系统，概算总投资</w:t>
      </w:r>
      <w:r>
        <w:rPr>
          <w:rFonts w:hint="eastAsia" w:ascii="仿宋" w:hAnsi="仿宋" w:eastAsia="仿宋" w:cs="仿宋"/>
          <w:sz w:val="32"/>
          <w:szCs w:val="32"/>
          <w:lang w:val="en-US" w:eastAsia="zh-CN"/>
        </w:rPr>
        <w:t>62.64</w:t>
      </w:r>
      <w:r>
        <w:rPr>
          <w:rFonts w:hint="eastAsia" w:ascii="仿宋" w:hAnsi="仿宋" w:eastAsia="仿宋" w:cs="仿宋"/>
          <w:sz w:val="32"/>
          <w:szCs w:val="32"/>
        </w:rPr>
        <w:t>万元。</w:t>
      </w:r>
      <w:r>
        <w:rPr>
          <w:rFonts w:hint="eastAsia" w:ascii="仿宋" w:hAnsi="仿宋" w:eastAsia="仿宋" w:cs="仿宋"/>
          <w:sz w:val="32"/>
          <w:szCs w:val="32"/>
        </w:rPr>
        <w:cr/>
      </w:r>
      <w:r>
        <w:rPr>
          <w:rFonts w:hint="eastAsia" w:ascii="仿宋" w:hAnsi="仿宋" w:eastAsia="仿宋" w:cs="仿宋"/>
          <w:sz w:val="32"/>
          <w:szCs w:val="32"/>
        </w:rPr>
        <w:t xml:space="preserve">    一是自然村规划新建</w:t>
      </w:r>
      <w:r>
        <w:rPr>
          <w:rFonts w:hint="eastAsia" w:ascii="仿宋" w:hAnsi="仿宋" w:eastAsia="仿宋" w:cs="仿宋"/>
          <w:sz w:val="32"/>
          <w:szCs w:val="32"/>
          <w:lang w:val="en-US" w:eastAsia="zh-CN"/>
        </w:rPr>
        <w:t>11</w:t>
      </w:r>
      <w:r>
        <w:rPr>
          <w:rFonts w:hint="eastAsia" w:ascii="仿宋" w:hAnsi="仿宋" w:eastAsia="仿宋" w:cs="仿宋"/>
          <w:sz w:val="32"/>
          <w:szCs w:val="32"/>
        </w:rPr>
        <w:t xml:space="preserve">条排水道： </w:t>
      </w:r>
    </w:p>
    <w:p w14:paraId="47E7EFB6">
      <w:pPr>
        <w:rPr>
          <w:rFonts w:hint="eastAsia" w:ascii="仿宋" w:hAnsi="仿宋" w:eastAsia="仿宋" w:cs="仿宋"/>
          <w:sz w:val="32"/>
          <w:szCs w:val="32"/>
        </w:rPr>
      </w:pPr>
      <w:r>
        <w:rPr>
          <w:rFonts w:hint="eastAsia" w:ascii="仿宋" w:hAnsi="仿宋" w:eastAsia="仿宋" w:cs="仿宋"/>
          <w:sz w:val="32"/>
          <w:szCs w:val="32"/>
        </w:rPr>
        <w:t xml:space="preserve">   1号沟渠</w:t>
      </w:r>
      <w:r>
        <w:rPr>
          <w:rFonts w:hint="eastAsia" w:ascii="仿宋" w:hAnsi="仿宋" w:eastAsia="仿宋" w:cs="仿宋"/>
          <w:sz w:val="32"/>
          <w:szCs w:val="32"/>
          <w:lang w:eastAsia="zh-CN"/>
        </w:rPr>
        <w:t>李艾块家</w:t>
      </w:r>
      <w:r>
        <w:rPr>
          <w:rFonts w:hint="eastAsia" w:ascii="仿宋" w:hAnsi="仿宋" w:eastAsia="仿宋" w:cs="仿宋"/>
          <w:sz w:val="32"/>
          <w:szCs w:val="32"/>
          <w:lang w:val="en-US" w:eastAsia="zh-CN"/>
        </w:rPr>
        <w:t>--尹荣搞--赵荣块--赵惹三--尹金强家（顺着硬板路主干道的水沟）</w:t>
      </w:r>
      <w:r>
        <w:rPr>
          <w:rFonts w:hint="eastAsia" w:ascii="仿宋" w:hAnsi="仿宋" w:eastAsia="仿宋" w:cs="仿宋"/>
          <w:sz w:val="32"/>
          <w:szCs w:val="32"/>
        </w:rPr>
        <w:t>，全长</w:t>
      </w:r>
      <w:r>
        <w:rPr>
          <w:rFonts w:hint="eastAsia" w:ascii="仿宋" w:hAnsi="仿宋" w:eastAsia="仿宋" w:cs="仿宋"/>
          <w:sz w:val="32"/>
          <w:szCs w:val="32"/>
          <w:lang w:val="en-US" w:eastAsia="zh-CN"/>
        </w:rPr>
        <w:t>420</w:t>
      </w:r>
      <w:r>
        <w:rPr>
          <w:rFonts w:hint="eastAsia" w:ascii="仿宋" w:hAnsi="仿宋" w:eastAsia="仿宋" w:cs="仿宋"/>
          <w:sz w:val="32"/>
          <w:szCs w:val="32"/>
        </w:rPr>
        <w:t>m，设计标准管径25cm，每25米设置1个检查井，投资单价360元/m（含检查井），概算投资</w:t>
      </w:r>
      <w:r>
        <w:rPr>
          <w:rFonts w:hint="eastAsia" w:ascii="仿宋" w:hAnsi="仿宋" w:eastAsia="仿宋" w:cs="仿宋"/>
          <w:sz w:val="32"/>
          <w:szCs w:val="32"/>
          <w:lang w:val="en-US" w:eastAsia="zh-CN"/>
        </w:rPr>
        <w:t>15.12</w:t>
      </w:r>
      <w:r>
        <w:rPr>
          <w:rFonts w:hint="eastAsia" w:ascii="仿宋" w:hAnsi="仿宋" w:eastAsia="仿宋" w:cs="仿宋"/>
          <w:sz w:val="32"/>
          <w:szCs w:val="32"/>
        </w:rPr>
        <w:t>万元.</w:t>
      </w:r>
    </w:p>
    <w:p w14:paraId="5910A184">
      <w:pPr>
        <w:rPr>
          <w:rFonts w:hint="eastAsia" w:ascii="仿宋" w:hAnsi="仿宋" w:eastAsia="仿宋" w:cs="仿宋"/>
          <w:sz w:val="32"/>
          <w:szCs w:val="32"/>
        </w:rPr>
      </w:pPr>
      <w:r>
        <w:rPr>
          <w:rFonts w:hint="eastAsia" w:ascii="仿宋" w:hAnsi="仿宋" w:eastAsia="仿宋" w:cs="仿宋"/>
          <w:sz w:val="32"/>
          <w:szCs w:val="32"/>
        </w:rPr>
        <w:t xml:space="preserve">   2号沟渠</w:t>
      </w:r>
      <w:r>
        <w:rPr>
          <w:rFonts w:hint="eastAsia" w:ascii="仿宋" w:hAnsi="仿宋" w:eastAsia="仿宋" w:cs="仿宋"/>
          <w:sz w:val="32"/>
          <w:szCs w:val="32"/>
          <w:lang w:eastAsia="zh-CN"/>
        </w:rPr>
        <w:t>赵安块家</w:t>
      </w:r>
      <w:r>
        <w:rPr>
          <w:rFonts w:hint="eastAsia" w:ascii="仿宋" w:hAnsi="仿宋" w:eastAsia="仿宋" w:cs="仿宋"/>
          <w:sz w:val="32"/>
          <w:szCs w:val="32"/>
          <w:lang w:val="en-US" w:eastAsia="zh-CN"/>
        </w:rPr>
        <w:t>--赵改搞家</w:t>
      </w:r>
      <w:r>
        <w:rPr>
          <w:rFonts w:hint="eastAsia" w:ascii="仿宋" w:hAnsi="仿宋" w:eastAsia="仿宋" w:cs="仿宋"/>
          <w:sz w:val="32"/>
          <w:szCs w:val="32"/>
        </w:rPr>
        <w:t>，全长</w:t>
      </w:r>
      <w:r>
        <w:rPr>
          <w:rFonts w:hint="eastAsia" w:ascii="仿宋" w:hAnsi="仿宋" w:eastAsia="仿宋" w:cs="仿宋"/>
          <w:sz w:val="32"/>
          <w:szCs w:val="32"/>
          <w:lang w:val="en-US" w:eastAsia="zh-CN"/>
        </w:rPr>
        <w:t>70</w:t>
      </w:r>
      <w:r>
        <w:rPr>
          <w:rFonts w:hint="eastAsia" w:ascii="仿宋" w:hAnsi="仿宋" w:eastAsia="仿宋" w:cs="仿宋"/>
          <w:sz w:val="32"/>
          <w:szCs w:val="32"/>
        </w:rPr>
        <w:t>m，设计标准管径25cm，每25米设置1个检查井，投资单价360元/m（含检查井），概算投资</w:t>
      </w:r>
      <w:r>
        <w:rPr>
          <w:rFonts w:hint="eastAsia" w:ascii="仿宋" w:hAnsi="仿宋" w:eastAsia="仿宋" w:cs="仿宋"/>
          <w:sz w:val="32"/>
          <w:szCs w:val="32"/>
          <w:lang w:val="en-US" w:eastAsia="zh-CN"/>
        </w:rPr>
        <w:t>2.52</w:t>
      </w:r>
      <w:r>
        <w:rPr>
          <w:rFonts w:hint="eastAsia" w:ascii="仿宋" w:hAnsi="仿宋" w:eastAsia="仿宋" w:cs="仿宋"/>
          <w:sz w:val="32"/>
          <w:szCs w:val="32"/>
        </w:rPr>
        <w:t xml:space="preserve">万元。  </w:t>
      </w:r>
    </w:p>
    <w:p w14:paraId="0F20033E">
      <w:pPr>
        <w:ind w:firstLine="638" w:firstLineChars="200"/>
        <w:rPr>
          <w:rFonts w:hint="eastAsia" w:ascii="仿宋" w:hAnsi="仿宋" w:eastAsia="仿宋" w:cs="仿宋"/>
          <w:sz w:val="32"/>
          <w:szCs w:val="32"/>
        </w:rPr>
      </w:pPr>
      <w:r>
        <w:rPr>
          <w:rFonts w:hint="eastAsia" w:ascii="仿宋" w:hAnsi="仿宋" w:eastAsia="仿宋" w:cs="仿宋"/>
          <w:sz w:val="32"/>
          <w:szCs w:val="32"/>
        </w:rPr>
        <w:t>3号沟渠</w:t>
      </w:r>
      <w:r>
        <w:rPr>
          <w:rFonts w:hint="eastAsia" w:ascii="仿宋" w:hAnsi="仿宋" w:eastAsia="仿宋" w:cs="仿宋"/>
          <w:sz w:val="32"/>
          <w:szCs w:val="32"/>
          <w:lang w:eastAsia="zh-CN"/>
        </w:rPr>
        <w:t>赵改搞家</w:t>
      </w:r>
      <w:r>
        <w:rPr>
          <w:rFonts w:hint="eastAsia" w:ascii="仿宋" w:hAnsi="仿宋" w:eastAsia="仿宋" w:cs="仿宋"/>
          <w:sz w:val="32"/>
          <w:szCs w:val="32"/>
          <w:lang w:val="en-US" w:eastAsia="zh-CN"/>
        </w:rPr>
        <w:t>--赵搞门家下的沟里</w:t>
      </w:r>
      <w:r>
        <w:rPr>
          <w:rFonts w:hint="eastAsia" w:ascii="仿宋" w:hAnsi="仿宋" w:eastAsia="仿宋" w:cs="仿宋"/>
          <w:sz w:val="32"/>
          <w:szCs w:val="32"/>
        </w:rPr>
        <w:t>全长</w:t>
      </w:r>
      <w:r>
        <w:rPr>
          <w:rFonts w:hint="eastAsia" w:ascii="仿宋" w:hAnsi="仿宋" w:eastAsia="仿宋" w:cs="仿宋"/>
          <w:sz w:val="32"/>
          <w:szCs w:val="32"/>
          <w:lang w:val="en-US" w:eastAsia="zh-CN"/>
        </w:rPr>
        <w:t>90</w:t>
      </w:r>
      <w:r>
        <w:rPr>
          <w:rFonts w:hint="eastAsia" w:ascii="仿宋" w:hAnsi="仿宋" w:eastAsia="仿宋" w:cs="仿宋"/>
          <w:sz w:val="32"/>
          <w:szCs w:val="32"/>
        </w:rPr>
        <w:t>m，设计标准管径25cm，每25米设置1个检查井，投资单价360元/m（含检查井），概算投资</w:t>
      </w:r>
      <w:r>
        <w:rPr>
          <w:rFonts w:hint="eastAsia" w:ascii="仿宋" w:hAnsi="仿宋" w:eastAsia="仿宋" w:cs="仿宋"/>
          <w:sz w:val="32"/>
          <w:szCs w:val="32"/>
          <w:lang w:val="en-US" w:eastAsia="zh-CN"/>
        </w:rPr>
        <w:t>3.24</w:t>
      </w:r>
      <w:r>
        <w:rPr>
          <w:rFonts w:hint="eastAsia" w:ascii="仿宋" w:hAnsi="仿宋" w:eastAsia="仿宋" w:cs="仿宋"/>
          <w:sz w:val="32"/>
          <w:szCs w:val="32"/>
        </w:rPr>
        <w:t>万元。</w:t>
      </w:r>
    </w:p>
    <w:p w14:paraId="42D9B953">
      <w:pPr>
        <w:ind w:firstLine="638"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号沟渠</w:t>
      </w:r>
      <w:r>
        <w:rPr>
          <w:rFonts w:hint="eastAsia" w:ascii="仿宋" w:hAnsi="仿宋" w:eastAsia="仿宋" w:cs="仿宋"/>
          <w:sz w:val="32"/>
          <w:szCs w:val="32"/>
          <w:lang w:eastAsia="zh-CN"/>
        </w:rPr>
        <w:t>赵艾改家</w:t>
      </w:r>
      <w:r>
        <w:rPr>
          <w:rFonts w:hint="eastAsia" w:ascii="仿宋" w:hAnsi="仿宋" w:eastAsia="仿宋" w:cs="仿宋"/>
          <w:sz w:val="32"/>
          <w:szCs w:val="32"/>
          <w:lang w:val="en-US" w:eastAsia="zh-CN"/>
        </w:rPr>
        <w:t>--尹尼倒</w:t>
      </w:r>
      <w:r>
        <w:rPr>
          <w:rFonts w:hint="eastAsia" w:ascii="仿宋" w:hAnsi="仿宋" w:eastAsia="仿宋" w:cs="仿宋"/>
          <w:sz w:val="32"/>
          <w:szCs w:val="32"/>
          <w:lang w:eastAsia="zh-CN"/>
        </w:rPr>
        <w:t>家</w:t>
      </w:r>
      <w:r>
        <w:rPr>
          <w:rFonts w:hint="eastAsia" w:ascii="仿宋" w:hAnsi="仿宋" w:eastAsia="仿宋" w:cs="仿宋"/>
          <w:sz w:val="32"/>
          <w:szCs w:val="32"/>
        </w:rPr>
        <w:t>全长</w:t>
      </w:r>
      <w:r>
        <w:rPr>
          <w:rFonts w:hint="eastAsia" w:ascii="仿宋" w:hAnsi="仿宋" w:eastAsia="仿宋" w:cs="仿宋"/>
          <w:sz w:val="32"/>
          <w:szCs w:val="32"/>
          <w:lang w:val="en-US" w:eastAsia="zh-CN"/>
        </w:rPr>
        <w:t>180</w:t>
      </w:r>
      <w:r>
        <w:rPr>
          <w:rFonts w:hint="eastAsia" w:ascii="仿宋" w:hAnsi="仿宋" w:eastAsia="仿宋" w:cs="仿宋"/>
          <w:sz w:val="32"/>
          <w:szCs w:val="32"/>
        </w:rPr>
        <w:t>m，设计标准管径25cm，每25米设置1个检查井，投资单价360元/m（含检查井），概算投资</w:t>
      </w:r>
      <w:r>
        <w:rPr>
          <w:rFonts w:hint="eastAsia" w:ascii="仿宋" w:hAnsi="仿宋" w:eastAsia="仿宋" w:cs="仿宋"/>
          <w:sz w:val="32"/>
          <w:szCs w:val="32"/>
          <w:lang w:val="en-US" w:eastAsia="zh-CN"/>
        </w:rPr>
        <w:t>6.48</w:t>
      </w:r>
      <w:r>
        <w:rPr>
          <w:rFonts w:hint="eastAsia" w:ascii="仿宋" w:hAnsi="仿宋" w:eastAsia="仿宋" w:cs="仿宋"/>
          <w:sz w:val="32"/>
          <w:szCs w:val="32"/>
        </w:rPr>
        <w:t>万元。</w:t>
      </w:r>
    </w:p>
    <w:p w14:paraId="39B652C9">
      <w:pPr>
        <w:ind w:firstLine="638"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号沟渠</w:t>
      </w:r>
      <w:r>
        <w:rPr>
          <w:rFonts w:hint="eastAsia" w:ascii="仿宋" w:hAnsi="仿宋" w:eastAsia="仿宋" w:cs="仿宋"/>
          <w:sz w:val="32"/>
          <w:szCs w:val="32"/>
          <w:lang w:eastAsia="zh-CN"/>
        </w:rPr>
        <w:t>赵那倒家</w:t>
      </w:r>
      <w:r>
        <w:rPr>
          <w:rFonts w:hint="eastAsia" w:ascii="仿宋" w:hAnsi="仿宋" w:eastAsia="仿宋" w:cs="仿宋"/>
          <w:sz w:val="32"/>
          <w:szCs w:val="32"/>
          <w:lang w:val="en-US" w:eastAsia="zh-CN"/>
        </w:rPr>
        <w:t>--赵荣倒家--球场边的水沟里</w:t>
      </w:r>
      <w:r>
        <w:rPr>
          <w:rFonts w:hint="eastAsia" w:ascii="仿宋" w:hAnsi="仿宋" w:eastAsia="仿宋" w:cs="仿宋"/>
          <w:sz w:val="32"/>
          <w:szCs w:val="32"/>
        </w:rPr>
        <w:t>全长</w:t>
      </w:r>
      <w:r>
        <w:rPr>
          <w:rFonts w:hint="eastAsia" w:ascii="仿宋" w:hAnsi="仿宋" w:eastAsia="仿宋" w:cs="仿宋"/>
          <w:sz w:val="32"/>
          <w:szCs w:val="32"/>
          <w:lang w:val="en-US" w:eastAsia="zh-CN"/>
        </w:rPr>
        <w:t>50</w:t>
      </w:r>
      <w:r>
        <w:rPr>
          <w:rFonts w:hint="eastAsia" w:ascii="仿宋" w:hAnsi="仿宋" w:eastAsia="仿宋" w:cs="仿宋"/>
          <w:sz w:val="32"/>
          <w:szCs w:val="32"/>
        </w:rPr>
        <w:t>m，设计标准管径25cm，每25米设置1个检查井，投资单价360元/m（含检查井），概算投资</w:t>
      </w:r>
      <w:r>
        <w:rPr>
          <w:rFonts w:hint="eastAsia" w:ascii="仿宋" w:hAnsi="仿宋" w:eastAsia="仿宋" w:cs="仿宋"/>
          <w:sz w:val="32"/>
          <w:szCs w:val="32"/>
          <w:lang w:val="en-US" w:eastAsia="zh-CN"/>
        </w:rPr>
        <w:t>1.8</w:t>
      </w:r>
      <w:r>
        <w:rPr>
          <w:rFonts w:hint="eastAsia" w:ascii="仿宋" w:hAnsi="仿宋" w:eastAsia="仿宋" w:cs="仿宋"/>
          <w:sz w:val="32"/>
          <w:szCs w:val="32"/>
        </w:rPr>
        <w:t>万元。</w:t>
      </w:r>
    </w:p>
    <w:p w14:paraId="75C29116">
      <w:pPr>
        <w:ind w:firstLine="638"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6、赵尼强家---李泉---赵倒伞家的水沟里全长200m，设计标准</w:t>
      </w:r>
      <w:r>
        <w:rPr>
          <w:rFonts w:hint="eastAsia" w:ascii="仿宋" w:hAnsi="仿宋" w:eastAsia="仿宋" w:cs="仿宋"/>
          <w:sz w:val="32"/>
          <w:szCs w:val="32"/>
        </w:rPr>
        <w:t>管径25cm，每25米设置1个检查井，投资单价360元/m（含检查井），概算投资</w:t>
      </w:r>
      <w:r>
        <w:rPr>
          <w:rFonts w:hint="eastAsia" w:ascii="仿宋" w:hAnsi="仿宋" w:eastAsia="仿宋" w:cs="仿宋"/>
          <w:sz w:val="32"/>
          <w:szCs w:val="32"/>
          <w:lang w:val="en-US" w:eastAsia="zh-CN"/>
        </w:rPr>
        <w:t>7.2</w:t>
      </w:r>
      <w:r>
        <w:rPr>
          <w:rFonts w:hint="eastAsia" w:ascii="仿宋" w:hAnsi="仿宋" w:eastAsia="仿宋" w:cs="仿宋"/>
          <w:sz w:val="32"/>
          <w:szCs w:val="32"/>
        </w:rPr>
        <w:t>万元。</w:t>
      </w:r>
    </w:p>
    <w:p w14:paraId="1D6FCE7D">
      <w:pPr>
        <w:ind w:firstLine="638"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7、李门惹家---赵赛那---球场水沟里全长80m，设计标准</w:t>
      </w:r>
      <w:r>
        <w:rPr>
          <w:rFonts w:hint="eastAsia" w:ascii="仿宋" w:hAnsi="仿宋" w:eastAsia="仿宋" w:cs="仿宋"/>
          <w:sz w:val="32"/>
          <w:szCs w:val="32"/>
        </w:rPr>
        <w:t>管径25cm，每25米设置1个检查井，投资单价360元/m（含检查井），概算投资</w:t>
      </w:r>
      <w:r>
        <w:rPr>
          <w:rFonts w:hint="eastAsia" w:ascii="仿宋" w:hAnsi="仿宋" w:eastAsia="仿宋" w:cs="仿宋"/>
          <w:sz w:val="32"/>
          <w:szCs w:val="32"/>
          <w:lang w:val="en-US" w:eastAsia="zh-CN"/>
        </w:rPr>
        <w:t>2.88</w:t>
      </w:r>
      <w:r>
        <w:rPr>
          <w:rFonts w:hint="eastAsia" w:ascii="仿宋" w:hAnsi="仿宋" w:eastAsia="仿宋" w:cs="仿宋"/>
          <w:sz w:val="32"/>
          <w:szCs w:val="32"/>
        </w:rPr>
        <w:t>万元。</w:t>
      </w:r>
    </w:p>
    <w:p w14:paraId="16D1E9A7">
      <w:pPr>
        <w:ind w:firstLine="638"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8、赵嘎杰小---赵块惹家---赵岩嘎---污水处理池全长150m，设计标准</w:t>
      </w:r>
      <w:r>
        <w:rPr>
          <w:rFonts w:hint="eastAsia" w:ascii="仿宋" w:hAnsi="仿宋" w:eastAsia="仿宋" w:cs="仿宋"/>
          <w:sz w:val="32"/>
          <w:szCs w:val="32"/>
        </w:rPr>
        <w:t>管径25cm，每25米设置1个检查井，投资单价360元/m（含检查井），概算投资</w:t>
      </w:r>
      <w:r>
        <w:rPr>
          <w:rFonts w:hint="eastAsia" w:ascii="仿宋" w:hAnsi="仿宋" w:eastAsia="仿宋" w:cs="仿宋"/>
          <w:sz w:val="32"/>
          <w:szCs w:val="32"/>
          <w:lang w:val="en-US" w:eastAsia="zh-CN"/>
        </w:rPr>
        <w:t>5.4</w:t>
      </w:r>
      <w:r>
        <w:rPr>
          <w:rFonts w:hint="eastAsia" w:ascii="仿宋" w:hAnsi="仿宋" w:eastAsia="仿宋" w:cs="仿宋"/>
          <w:sz w:val="32"/>
          <w:szCs w:val="32"/>
        </w:rPr>
        <w:t>万元。</w:t>
      </w:r>
    </w:p>
    <w:p w14:paraId="2CEE322D">
      <w:pPr>
        <w:ind w:firstLine="638"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8、尹艾块家--尹块改---赵惹那---李改搞---污水处理池全长150m，设计标准</w:t>
      </w:r>
      <w:r>
        <w:rPr>
          <w:rFonts w:hint="eastAsia" w:ascii="仿宋" w:hAnsi="仿宋" w:eastAsia="仿宋" w:cs="仿宋"/>
          <w:sz w:val="32"/>
          <w:szCs w:val="32"/>
        </w:rPr>
        <w:t>管径25cm，每25米设置1个检查井，投资单价360元/m（含检查井），概算投资</w:t>
      </w:r>
      <w:r>
        <w:rPr>
          <w:rFonts w:hint="eastAsia" w:ascii="仿宋" w:hAnsi="仿宋" w:eastAsia="仿宋" w:cs="仿宋"/>
          <w:sz w:val="32"/>
          <w:szCs w:val="32"/>
          <w:lang w:val="en-US" w:eastAsia="zh-CN"/>
        </w:rPr>
        <w:t>5.4</w:t>
      </w:r>
      <w:r>
        <w:rPr>
          <w:rFonts w:hint="eastAsia" w:ascii="仿宋" w:hAnsi="仿宋" w:eastAsia="仿宋" w:cs="仿宋"/>
          <w:sz w:val="32"/>
          <w:szCs w:val="32"/>
        </w:rPr>
        <w:t>万元。</w:t>
      </w:r>
    </w:p>
    <w:p w14:paraId="7DB1792A">
      <w:pPr>
        <w:ind w:firstLine="638"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9、赵叶倒家---尹改再---赵搞门家全长100m，设计标准</w:t>
      </w:r>
      <w:r>
        <w:rPr>
          <w:rFonts w:hint="eastAsia" w:ascii="仿宋" w:hAnsi="仿宋" w:eastAsia="仿宋" w:cs="仿宋"/>
          <w:sz w:val="32"/>
          <w:szCs w:val="32"/>
        </w:rPr>
        <w:t>管径25cm，每25米设置1个检查井，投资单价360元/m（含检查井），概算投资</w:t>
      </w:r>
      <w:r>
        <w:rPr>
          <w:rFonts w:hint="eastAsia" w:ascii="仿宋" w:hAnsi="仿宋" w:eastAsia="仿宋" w:cs="仿宋"/>
          <w:sz w:val="32"/>
          <w:szCs w:val="32"/>
          <w:lang w:val="en-US" w:eastAsia="zh-CN"/>
        </w:rPr>
        <w:t>3.6</w:t>
      </w:r>
      <w:r>
        <w:rPr>
          <w:rFonts w:hint="eastAsia" w:ascii="仿宋" w:hAnsi="仿宋" w:eastAsia="仿宋" w:cs="仿宋"/>
          <w:sz w:val="32"/>
          <w:szCs w:val="32"/>
        </w:rPr>
        <w:t>万元。</w:t>
      </w:r>
    </w:p>
    <w:p w14:paraId="66085CE9">
      <w:pPr>
        <w:ind w:firstLine="638"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10、尹块嘎家---赵改搞家全长100m，设计标准</w:t>
      </w:r>
      <w:r>
        <w:rPr>
          <w:rFonts w:hint="eastAsia" w:ascii="仿宋" w:hAnsi="仿宋" w:eastAsia="仿宋" w:cs="仿宋"/>
          <w:sz w:val="32"/>
          <w:szCs w:val="32"/>
        </w:rPr>
        <w:t>管径25cm，每25米设置1个检查井，投资单价360元/m（含检查井），概算投资</w:t>
      </w:r>
      <w:r>
        <w:rPr>
          <w:rFonts w:hint="eastAsia" w:ascii="仿宋" w:hAnsi="仿宋" w:eastAsia="仿宋" w:cs="仿宋"/>
          <w:sz w:val="32"/>
          <w:szCs w:val="32"/>
          <w:lang w:val="en-US" w:eastAsia="zh-CN"/>
        </w:rPr>
        <w:t>3.6</w:t>
      </w:r>
      <w:r>
        <w:rPr>
          <w:rFonts w:hint="eastAsia" w:ascii="仿宋" w:hAnsi="仿宋" w:eastAsia="仿宋" w:cs="仿宋"/>
          <w:sz w:val="32"/>
          <w:szCs w:val="32"/>
        </w:rPr>
        <w:t>万元。</w:t>
      </w:r>
    </w:p>
    <w:p w14:paraId="5C1E8D8F">
      <w:pPr>
        <w:ind w:firstLine="638"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11、尹艾嘎---赵撒搞---赵艾改家全长150m，设计标准</w:t>
      </w:r>
      <w:r>
        <w:rPr>
          <w:rFonts w:hint="eastAsia" w:ascii="仿宋" w:hAnsi="仿宋" w:eastAsia="仿宋" w:cs="仿宋"/>
          <w:sz w:val="32"/>
          <w:szCs w:val="32"/>
        </w:rPr>
        <w:t>管径25cm，每25米设置1个检查井，投资单价360元/m（含检查井），概算投资</w:t>
      </w:r>
      <w:r>
        <w:rPr>
          <w:rFonts w:hint="eastAsia" w:ascii="仿宋" w:hAnsi="仿宋" w:eastAsia="仿宋" w:cs="仿宋"/>
          <w:sz w:val="32"/>
          <w:szCs w:val="32"/>
          <w:lang w:val="en-US" w:eastAsia="zh-CN"/>
        </w:rPr>
        <w:t>5.4</w:t>
      </w:r>
      <w:r>
        <w:rPr>
          <w:rFonts w:hint="eastAsia" w:ascii="仿宋" w:hAnsi="仿宋" w:eastAsia="仿宋" w:cs="仿宋"/>
          <w:sz w:val="32"/>
          <w:szCs w:val="32"/>
        </w:rPr>
        <w:t>万元。</w:t>
      </w:r>
    </w:p>
    <w:p w14:paraId="50E4A779">
      <w:pPr>
        <w:ind w:firstLine="638" w:firstLineChars="200"/>
        <w:rPr>
          <w:rFonts w:hint="eastAsia" w:ascii="仿宋" w:hAnsi="仿宋" w:eastAsia="仿宋" w:cs="仿宋"/>
          <w:sz w:val="32"/>
          <w:szCs w:val="32"/>
        </w:rPr>
      </w:pPr>
      <w:r>
        <w:rPr>
          <w:rFonts w:hint="eastAsia" w:ascii="仿宋" w:hAnsi="仿宋" w:eastAsia="仿宋" w:cs="仿宋"/>
          <w:sz w:val="32"/>
          <w:szCs w:val="32"/>
        </w:rPr>
        <w:t>3．公共空间：</w:t>
      </w:r>
      <w:r>
        <w:rPr>
          <w:rFonts w:hint="eastAsia" w:ascii="仿宋" w:hAnsi="仿宋" w:eastAsia="仿宋" w:cs="仿宋"/>
          <w:sz w:val="32"/>
          <w:szCs w:val="32"/>
        </w:rPr>
        <w:cr/>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结合村庄布局，自然村2个清洁公厕.概算总投资</w:t>
      </w:r>
      <w:r>
        <w:rPr>
          <w:rFonts w:hint="eastAsia" w:ascii="仿宋" w:hAnsi="仿宋" w:eastAsia="仿宋" w:cs="仿宋"/>
          <w:sz w:val="32"/>
          <w:szCs w:val="32"/>
          <w:lang w:val="en-US" w:eastAsia="zh-CN"/>
        </w:rPr>
        <w:t>16</w:t>
      </w:r>
      <w:r>
        <w:rPr>
          <w:rFonts w:hint="eastAsia" w:ascii="仿宋" w:hAnsi="仿宋" w:eastAsia="仿宋" w:cs="仿宋"/>
          <w:sz w:val="32"/>
          <w:szCs w:val="32"/>
        </w:rPr>
        <w:t>万元。</w:t>
      </w:r>
      <w:r>
        <w:rPr>
          <w:rFonts w:hint="eastAsia" w:ascii="仿宋" w:hAnsi="仿宋" w:eastAsia="仿宋" w:cs="仿宋"/>
          <w:sz w:val="32"/>
          <w:szCs w:val="32"/>
        </w:rPr>
        <w:cr/>
      </w:r>
      <w:r>
        <w:rPr>
          <w:rFonts w:hint="eastAsia" w:ascii="仿宋" w:hAnsi="仿宋" w:eastAsia="仿宋" w:cs="仿宋"/>
          <w:sz w:val="32"/>
          <w:szCs w:val="32"/>
        </w:rPr>
        <w:t xml:space="preserve">    清洁公厕： </w:t>
      </w:r>
      <w:r>
        <w:rPr>
          <w:rFonts w:hint="eastAsia" w:ascii="仿宋" w:hAnsi="仿宋" w:eastAsia="仿宋" w:cs="仿宋"/>
          <w:sz w:val="32"/>
          <w:szCs w:val="32"/>
        </w:rPr>
        <w:cr/>
      </w:r>
      <w:r>
        <w:rPr>
          <w:rFonts w:hint="eastAsia" w:ascii="仿宋" w:hAnsi="仿宋" w:eastAsia="仿宋" w:cs="仿宋"/>
          <w:sz w:val="32"/>
          <w:szCs w:val="32"/>
        </w:rPr>
        <w:t xml:space="preserve">    规划建设2个清洁公厕，投资单价80000元/座，估算总投资16万元。</w:t>
      </w:r>
      <w:r>
        <w:rPr>
          <w:rFonts w:hint="eastAsia" w:ascii="仿宋" w:hAnsi="仿宋" w:eastAsia="仿宋" w:cs="仿宋"/>
          <w:sz w:val="32"/>
          <w:szCs w:val="32"/>
        </w:rPr>
        <w:cr/>
      </w:r>
      <w:r>
        <w:rPr>
          <w:rFonts w:hint="eastAsia" w:ascii="仿宋" w:hAnsi="仿宋" w:eastAsia="仿宋" w:cs="仿宋"/>
          <w:sz w:val="32"/>
          <w:szCs w:val="32"/>
        </w:rPr>
        <w:t xml:space="preserve">   4．亮化工程：概算总投资6万元。</w:t>
      </w:r>
      <w:r>
        <w:rPr>
          <w:rFonts w:hint="eastAsia" w:ascii="仿宋" w:hAnsi="仿宋" w:eastAsia="仿宋" w:cs="仿宋"/>
          <w:sz w:val="32"/>
          <w:szCs w:val="32"/>
        </w:rPr>
        <w:cr/>
      </w:r>
      <w:r>
        <w:rPr>
          <w:rFonts w:hint="eastAsia" w:ascii="仿宋" w:hAnsi="仿宋" w:eastAsia="仿宋" w:cs="仿宋"/>
          <w:sz w:val="32"/>
          <w:szCs w:val="32"/>
        </w:rPr>
        <w:t xml:space="preserve">   自然村规划安装15盏太阳能路灯，投资单价4000元/盏，概算总投资6万元。</w:t>
      </w:r>
      <w:r>
        <w:rPr>
          <w:rFonts w:hint="eastAsia" w:ascii="仿宋" w:hAnsi="仿宋" w:eastAsia="仿宋" w:cs="仿宋"/>
          <w:sz w:val="32"/>
          <w:szCs w:val="32"/>
        </w:rPr>
        <w:cr/>
      </w:r>
      <w:r>
        <w:rPr>
          <w:rFonts w:hint="eastAsia" w:ascii="仿宋" w:hAnsi="仿宋" w:eastAsia="仿宋" w:cs="仿宋"/>
          <w:sz w:val="32"/>
          <w:szCs w:val="32"/>
        </w:rPr>
        <w:t xml:space="preserve">   5．绿化美化：概算投资14万元</w:t>
      </w:r>
      <w:r>
        <w:rPr>
          <w:rFonts w:hint="eastAsia" w:ascii="仿宋" w:hAnsi="仿宋" w:eastAsia="仿宋" w:cs="仿宋"/>
          <w:sz w:val="32"/>
          <w:szCs w:val="32"/>
        </w:rPr>
        <w:cr/>
      </w:r>
      <w:r>
        <w:rPr>
          <w:rFonts w:hint="eastAsia" w:ascii="仿宋" w:hAnsi="仿宋" w:eastAsia="仿宋" w:cs="仿宋"/>
          <w:sz w:val="32"/>
          <w:szCs w:val="32"/>
        </w:rPr>
        <w:t xml:space="preserve">  （1）实施进村入户主干道绿化工程，以三角梅、攀枝花凤凰花等交叉间种方式实施绿化，共需种植200棵，补助300元/棵，概算投资6万元.</w:t>
      </w:r>
    </w:p>
    <w:p w14:paraId="6A314AD7">
      <w:pPr>
        <w:ind w:left="418" w:leftChars="200"/>
        <w:rPr>
          <w:rFonts w:hint="eastAsia" w:ascii="仿宋" w:hAnsi="仿宋" w:eastAsia="仿宋" w:cs="仿宋"/>
          <w:sz w:val="32"/>
          <w:szCs w:val="32"/>
        </w:rPr>
      </w:pPr>
      <w:r>
        <w:rPr>
          <w:rFonts w:hint="eastAsia" w:ascii="仿宋" w:hAnsi="仿宋" w:eastAsia="仿宋" w:cs="仿宋"/>
          <w:sz w:val="32"/>
          <w:szCs w:val="32"/>
        </w:rPr>
        <w:t>（2）实施庭院绿化美化工程，每户农户庭院及周边至少种植10株本地果木，共需种植800棵，成活1棵补助100元，概算投资8万元</w:t>
      </w:r>
    </w:p>
    <w:p w14:paraId="17871FB5">
      <w:pPr>
        <w:ind w:left="418" w:leftChars="200" w:firstLine="319" w:firstLineChars="100"/>
        <w:rPr>
          <w:rFonts w:hint="eastAsia" w:ascii="仿宋" w:hAnsi="仿宋" w:eastAsia="仿宋" w:cs="仿宋"/>
          <w:sz w:val="32"/>
          <w:szCs w:val="32"/>
          <w:lang w:val="en-US" w:eastAsia="zh-CN"/>
        </w:rPr>
      </w:pPr>
      <w:r>
        <w:rPr>
          <w:rFonts w:hint="eastAsia" w:ascii="仿宋" w:hAnsi="仿宋" w:eastAsia="仿宋" w:cs="仿宋"/>
          <w:sz w:val="32"/>
          <w:szCs w:val="32"/>
        </w:rPr>
        <w:t>6．用地规划：</w:t>
      </w:r>
      <w:r>
        <w:rPr>
          <w:rFonts w:hint="eastAsia" w:ascii="仿宋" w:hAnsi="仿宋" w:eastAsia="仿宋" w:cs="仿宋"/>
          <w:sz w:val="32"/>
          <w:szCs w:val="32"/>
        </w:rPr>
        <w:cr/>
      </w:r>
      <w:r>
        <w:rPr>
          <w:rFonts w:hint="eastAsia" w:ascii="仿宋" w:hAnsi="仿宋" w:eastAsia="仿宋" w:cs="仿宋"/>
          <w:sz w:val="32"/>
          <w:szCs w:val="32"/>
        </w:rPr>
        <w:t xml:space="preserve">  划定村庄建设边界，预留新增民居扩容建设用地</w:t>
      </w:r>
      <w:r>
        <w:rPr>
          <w:rFonts w:hint="eastAsia" w:ascii="仿宋" w:hAnsi="仿宋" w:eastAsia="仿宋" w:cs="仿宋"/>
          <w:sz w:val="32"/>
          <w:szCs w:val="32"/>
          <w:lang w:eastAsia="zh-CN"/>
        </w:rPr>
        <w:t>教堂上边</w:t>
      </w:r>
      <w:r>
        <w:rPr>
          <w:rFonts w:hint="eastAsia" w:ascii="仿宋" w:hAnsi="仿宋" w:eastAsia="仿宋" w:cs="仿宋"/>
          <w:sz w:val="32"/>
          <w:szCs w:val="32"/>
        </w:rPr>
        <w:t>5亩</w:t>
      </w:r>
      <w:r>
        <w:rPr>
          <w:rFonts w:hint="eastAsia" w:ascii="仿宋" w:hAnsi="仿宋" w:eastAsia="仿宋" w:cs="仿宋"/>
          <w:sz w:val="32"/>
          <w:szCs w:val="32"/>
          <w:lang w:eastAsia="zh-CN"/>
        </w:rPr>
        <w:t>，养殖小区（寨子下边）</w:t>
      </w:r>
      <w:r>
        <w:rPr>
          <w:rFonts w:hint="eastAsia" w:ascii="仿宋" w:hAnsi="仿宋" w:eastAsia="仿宋" w:cs="仿宋"/>
          <w:sz w:val="32"/>
          <w:szCs w:val="32"/>
          <w:lang w:val="en-US" w:eastAsia="zh-CN"/>
        </w:rPr>
        <w:t>5亩。</w:t>
      </w:r>
    </w:p>
    <w:p w14:paraId="1567E2C2">
      <w:pPr>
        <w:ind w:firstLine="638" w:firstLineChars="200"/>
        <w:rPr>
          <w:rFonts w:hint="eastAsia" w:ascii="黑体" w:hAnsi="黑体" w:eastAsia="黑体" w:cs="黑体"/>
          <w:sz w:val="32"/>
          <w:szCs w:val="32"/>
        </w:rPr>
      </w:pPr>
      <w:r>
        <w:rPr>
          <w:rFonts w:hint="eastAsia" w:ascii="黑体" w:hAnsi="黑体" w:eastAsia="黑体" w:cs="黑体"/>
          <w:sz w:val="32"/>
          <w:szCs w:val="32"/>
        </w:rPr>
        <w:t>二、规划管理</w:t>
      </w:r>
    </w:p>
    <w:p w14:paraId="110EFB4B">
      <w:pPr>
        <w:ind w:firstLine="479" w:firstLineChars="150"/>
        <w:rPr>
          <w:rFonts w:hint="eastAsia" w:ascii="仿宋" w:hAnsi="仿宋" w:eastAsia="仿宋" w:cs="仿宋"/>
          <w:sz w:val="32"/>
          <w:szCs w:val="32"/>
        </w:rPr>
      </w:pPr>
      <w:r>
        <w:rPr>
          <w:rFonts w:hint="eastAsia" w:ascii="仿宋" w:hAnsi="仿宋" w:eastAsia="仿宋" w:cs="仿宋"/>
          <w:sz w:val="32"/>
          <w:szCs w:val="32"/>
        </w:rPr>
        <w:t>（一）广泛深入宣传城乡规划法律法规和村庄规划内容，提高群众的规划意识、法治意识，教育、引导群众自觉遵守规划，自觉按照规定和要求规范建设、管理。</w:t>
      </w:r>
      <w:r>
        <w:rPr>
          <w:rFonts w:hint="eastAsia" w:ascii="仿宋" w:hAnsi="仿宋" w:eastAsia="仿宋" w:cs="仿宋"/>
          <w:sz w:val="32"/>
          <w:szCs w:val="32"/>
        </w:rPr>
        <w:cr/>
      </w:r>
      <w:r>
        <w:rPr>
          <w:rFonts w:hint="eastAsia" w:ascii="仿宋" w:hAnsi="仿宋" w:eastAsia="仿宋" w:cs="仿宋"/>
          <w:sz w:val="32"/>
          <w:szCs w:val="32"/>
        </w:rPr>
        <w:t xml:space="preserve">   （二）严格执行规划许可制度，未经许可，任何单位居民不得擅自建设。确需建设的，必须符合规划，由村民提出申请，自然村振兴理事会核实是否符合规划；自然村振兴理事会核实同意后，提交村委会审核提出意见，统一上报镇审批。</w:t>
      </w:r>
      <w:r>
        <w:rPr>
          <w:rFonts w:hint="eastAsia" w:ascii="仿宋" w:hAnsi="仿宋" w:eastAsia="仿宋" w:cs="仿宋"/>
          <w:sz w:val="32"/>
          <w:szCs w:val="32"/>
        </w:rPr>
        <w:cr/>
      </w:r>
      <w:r>
        <w:rPr>
          <w:rFonts w:hint="eastAsia" w:ascii="仿宋" w:hAnsi="仿宋" w:eastAsia="仿宋" w:cs="仿宋"/>
          <w:sz w:val="32"/>
          <w:szCs w:val="32"/>
        </w:rPr>
        <w:t xml:space="preserve">  （三）严格执行城乡清洁相关法律法规，开展农村人居环境提升行动，提高村庄文明程度。</w:t>
      </w:r>
      <w:r>
        <w:rPr>
          <w:rFonts w:hint="eastAsia" w:ascii="仿宋" w:hAnsi="仿宋" w:eastAsia="仿宋" w:cs="仿宋"/>
          <w:sz w:val="32"/>
          <w:szCs w:val="32"/>
        </w:rPr>
        <w:cr/>
      </w:r>
      <w:r>
        <w:rPr>
          <w:rFonts w:hint="eastAsia" w:ascii="仿宋" w:hAnsi="仿宋" w:eastAsia="仿宋" w:cs="仿宋"/>
          <w:sz w:val="32"/>
          <w:szCs w:val="32"/>
        </w:rPr>
        <w:t xml:space="preserve">  （四）加强监督管理，将规划的规范性内容和禁止性内容列入村规民约，发挥好村民自治、村民相互监督作用，共同维护规划的严肃性和法律性。</w:t>
      </w:r>
      <w:r>
        <w:rPr>
          <w:rFonts w:hint="eastAsia" w:ascii="仿宋" w:hAnsi="仿宋" w:eastAsia="仿宋" w:cs="仿宋"/>
          <w:sz w:val="32"/>
          <w:szCs w:val="32"/>
        </w:rPr>
        <w:cr/>
      </w:r>
      <w:r>
        <w:rPr>
          <w:rFonts w:hint="eastAsia" w:ascii="仿宋" w:hAnsi="仿宋" w:eastAsia="仿宋" w:cs="仿宋"/>
          <w:sz w:val="32"/>
          <w:szCs w:val="32"/>
        </w:rPr>
        <w:t xml:space="preserve">  （五）在自然村振兴理事会成员中，明确庄规划建设专管员，发挥好村庄规划建设专管员作用，加大违法违规建筑治理，发现一起拆除一起，确保规划有效实施。</w:t>
      </w:r>
    </w:p>
    <w:p w14:paraId="7322FC1A">
      <w:pPr>
        <w:ind w:left="627" w:leftChars="300" w:firstLine="319" w:firstLineChars="100"/>
        <w:rPr>
          <w:rFonts w:hint="eastAsia" w:ascii="仿宋" w:hAnsi="仿宋" w:eastAsia="仿宋" w:cs="仿宋"/>
          <w:sz w:val="32"/>
          <w:szCs w:val="32"/>
        </w:rPr>
      </w:pPr>
      <w:r>
        <w:rPr>
          <w:rFonts w:hint="eastAsia" w:ascii="黑体" w:hAnsi="黑体" w:eastAsia="黑体" w:cs="黑体"/>
          <w:sz w:val="32"/>
          <w:szCs w:val="32"/>
        </w:rPr>
        <w:t>三、规划图件</w:t>
      </w:r>
      <w:r>
        <w:rPr>
          <w:rFonts w:hint="eastAsia" w:ascii="黑体" w:hAnsi="黑体" w:eastAsia="黑体" w:cs="黑体"/>
          <w:sz w:val="32"/>
          <w:szCs w:val="32"/>
        </w:rPr>
        <w:cr/>
      </w:r>
      <w:r>
        <w:rPr>
          <w:rFonts w:hint="eastAsia" w:ascii="仿宋" w:hAnsi="仿宋" w:eastAsia="仿宋" w:cs="仿宋"/>
          <w:sz w:val="32"/>
          <w:szCs w:val="32"/>
        </w:rPr>
        <w:t>（一）自然村域规划图（见附件）</w:t>
      </w:r>
      <w:r>
        <w:rPr>
          <w:rFonts w:hint="eastAsia" w:ascii="仿宋" w:hAnsi="仿宋" w:eastAsia="仿宋" w:cs="仿宋"/>
          <w:sz w:val="32"/>
          <w:szCs w:val="32"/>
        </w:rPr>
        <w:cr/>
      </w:r>
      <w:r>
        <w:rPr>
          <w:rFonts w:hint="eastAsia" w:ascii="仿宋" w:hAnsi="仿宋" w:eastAsia="仿宋" w:cs="仿宋"/>
          <w:sz w:val="32"/>
          <w:szCs w:val="32"/>
        </w:rPr>
        <w:t>（二）村庄建设规划图（见附件）</w:t>
      </w:r>
      <w:r>
        <w:rPr>
          <w:rFonts w:hint="eastAsia" w:ascii="仿宋" w:hAnsi="仿宋" w:eastAsia="仿宋" w:cs="仿宋"/>
          <w:sz w:val="32"/>
          <w:szCs w:val="32"/>
        </w:rPr>
        <w:cr/>
      </w:r>
      <w:r>
        <w:rPr>
          <w:rFonts w:hint="eastAsia" w:ascii="仿宋" w:hAnsi="仿宋" w:eastAsia="仿宋" w:cs="仿宋"/>
          <w:sz w:val="32"/>
          <w:szCs w:val="32"/>
        </w:rPr>
        <w:t>（三）规划建设项目表（见附件）</w:t>
      </w:r>
    </w:p>
    <w:p w14:paraId="10565769">
      <w:pPr>
        <w:ind w:firstLine="638" w:firstLineChars="200"/>
        <w:rPr>
          <w:rFonts w:hint="eastAsia" w:ascii="仿宋" w:hAnsi="仿宋" w:eastAsia="仿宋" w:cs="仿宋"/>
          <w:sz w:val="32"/>
          <w:szCs w:val="32"/>
        </w:rPr>
      </w:pPr>
      <w:r>
        <w:rPr>
          <w:rFonts w:hint="eastAsia" w:ascii="仿宋" w:hAnsi="仿宋" w:eastAsia="仿宋" w:cs="仿宋"/>
          <w:sz w:val="32"/>
          <w:szCs w:val="32"/>
        </w:rPr>
        <w:t>（四）自然村村规民约（见附件）</w:t>
      </w:r>
    </w:p>
    <w:p w14:paraId="7C4D05EB">
      <w:pPr>
        <w:jc w:val="center"/>
        <w:rPr>
          <w:rFonts w:hint="eastAsia" w:ascii="仿宋" w:hAnsi="仿宋" w:eastAsia="仿宋" w:cs="仿宋"/>
          <w:sz w:val="32"/>
          <w:szCs w:val="32"/>
        </w:rPr>
      </w:pPr>
    </w:p>
    <w:p w14:paraId="36918AD8">
      <w:pPr>
        <w:ind w:left="627" w:leftChars="300" w:firstLine="319" w:firstLineChars="100"/>
        <w:rPr>
          <w:rFonts w:hint="eastAsia" w:ascii="仿宋" w:hAnsi="仿宋" w:eastAsia="仿宋" w:cs="仿宋"/>
          <w:sz w:val="32"/>
          <w:szCs w:val="32"/>
        </w:rPr>
      </w:pPr>
    </w:p>
    <w:p w14:paraId="12665FB6">
      <w:pPr>
        <w:ind w:firstLine="638" w:firstLineChars="200"/>
        <w:rPr>
          <w:rFonts w:hint="eastAsia"/>
          <w:sz w:val="32"/>
          <w:szCs w:val="32"/>
        </w:rPr>
      </w:pPr>
    </w:p>
    <w:tbl>
      <w:tblPr>
        <w:tblStyle w:val="4"/>
        <w:tblW w:w="9372" w:type="dxa"/>
        <w:tblInd w:w="93" w:type="dxa"/>
        <w:tblLayout w:type="fixed"/>
        <w:tblCellMar>
          <w:top w:w="15" w:type="dxa"/>
          <w:left w:w="108" w:type="dxa"/>
          <w:bottom w:w="15" w:type="dxa"/>
          <w:right w:w="108" w:type="dxa"/>
        </w:tblCellMar>
      </w:tblPr>
      <w:tblGrid>
        <w:gridCol w:w="457"/>
        <w:gridCol w:w="4400"/>
        <w:gridCol w:w="1832"/>
        <w:gridCol w:w="178"/>
        <w:gridCol w:w="955"/>
        <w:gridCol w:w="1550"/>
      </w:tblGrid>
      <w:tr w14:paraId="581B81EE">
        <w:tblPrEx>
          <w:tblCellMar>
            <w:top w:w="15" w:type="dxa"/>
            <w:left w:w="108" w:type="dxa"/>
            <w:bottom w:w="15" w:type="dxa"/>
            <w:right w:w="108" w:type="dxa"/>
          </w:tblCellMar>
        </w:tblPrEx>
        <w:trPr>
          <w:trHeight w:val="465" w:hRule="atLeast"/>
        </w:trPr>
        <w:tc>
          <w:tcPr>
            <w:tcW w:w="4857" w:type="dxa"/>
            <w:gridSpan w:val="2"/>
            <w:vAlign w:val="center"/>
          </w:tcPr>
          <w:p w14:paraId="0CFAAAF7">
            <w:pPr>
              <w:widowControl/>
              <w:jc w:val="both"/>
              <w:rPr>
                <w:rFonts w:ascii="黑体" w:hAnsi="宋体" w:eastAsia="黑体" w:cs="宋体"/>
                <w:color w:val="000000"/>
                <w:kern w:val="0"/>
                <w:sz w:val="21"/>
                <w:szCs w:val="21"/>
              </w:rPr>
            </w:pPr>
            <w:r>
              <w:rPr>
                <w:rFonts w:hint="eastAsia" w:ascii="黑体" w:hAnsi="宋体" w:eastAsia="黑体" w:cs="宋体"/>
                <w:color w:val="000000"/>
                <w:kern w:val="0"/>
                <w:sz w:val="21"/>
                <w:szCs w:val="21"/>
              </w:rPr>
              <w:t>附件3</w:t>
            </w:r>
          </w:p>
        </w:tc>
        <w:tc>
          <w:tcPr>
            <w:tcW w:w="1832" w:type="dxa"/>
            <w:vAlign w:val="center"/>
          </w:tcPr>
          <w:p w14:paraId="7DD91C50">
            <w:pPr>
              <w:widowControl/>
              <w:jc w:val="both"/>
              <w:rPr>
                <w:rFonts w:ascii="宋体" w:hAnsi="宋体" w:eastAsia="宋体" w:cs="宋体"/>
                <w:color w:val="000000"/>
                <w:kern w:val="0"/>
                <w:sz w:val="21"/>
                <w:szCs w:val="21"/>
              </w:rPr>
            </w:pPr>
          </w:p>
        </w:tc>
        <w:tc>
          <w:tcPr>
            <w:tcW w:w="1133" w:type="dxa"/>
            <w:gridSpan w:val="2"/>
            <w:vAlign w:val="center"/>
          </w:tcPr>
          <w:p w14:paraId="08F29000">
            <w:pPr>
              <w:widowControl/>
              <w:jc w:val="both"/>
              <w:rPr>
                <w:rFonts w:ascii="宋体" w:hAnsi="宋体" w:eastAsia="宋体" w:cs="宋体"/>
                <w:color w:val="000000"/>
                <w:kern w:val="0"/>
                <w:sz w:val="21"/>
                <w:szCs w:val="21"/>
              </w:rPr>
            </w:pPr>
          </w:p>
        </w:tc>
        <w:tc>
          <w:tcPr>
            <w:tcW w:w="1550" w:type="dxa"/>
            <w:vAlign w:val="center"/>
          </w:tcPr>
          <w:p w14:paraId="7771154F">
            <w:pPr>
              <w:widowControl/>
              <w:jc w:val="both"/>
              <w:rPr>
                <w:rFonts w:ascii="宋体" w:hAnsi="宋体" w:eastAsia="宋体" w:cs="宋体"/>
                <w:color w:val="000000"/>
                <w:kern w:val="0"/>
                <w:sz w:val="21"/>
                <w:szCs w:val="21"/>
              </w:rPr>
            </w:pPr>
          </w:p>
        </w:tc>
      </w:tr>
      <w:tr w14:paraId="54CEFC78">
        <w:tblPrEx>
          <w:tblCellMar>
            <w:top w:w="15" w:type="dxa"/>
            <w:left w:w="108" w:type="dxa"/>
            <w:bottom w:w="15" w:type="dxa"/>
            <w:right w:w="108" w:type="dxa"/>
          </w:tblCellMar>
        </w:tblPrEx>
        <w:trPr>
          <w:trHeight w:val="480" w:hRule="atLeast"/>
        </w:trPr>
        <w:tc>
          <w:tcPr>
            <w:tcW w:w="4857" w:type="dxa"/>
            <w:gridSpan w:val="2"/>
            <w:vMerge w:val="restart"/>
            <w:tcBorders>
              <w:top w:val="single" w:color="000000" w:sz="4" w:space="0"/>
              <w:left w:val="single" w:color="000000" w:sz="4" w:space="0"/>
              <w:bottom w:val="single" w:color="000000" w:sz="4" w:space="0"/>
              <w:right w:val="single" w:color="000000" w:sz="4" w:space="0"/>
            </w:tcBorders>
            <w:vAlign w:val="center"/>
          </w:tcPr>
          <w:p w14:paraId="42FFA003">
            <w:pPr>
              <w:widowControl/>
              <w:spacing w:line="360" w:lineRule="exact"/>
              <w:jc w:val="both"/>
              <w:rPr>
                <w:rFonts w:ascii="黑体" w:hAnsi="宋体" w:eastAsia="黑体" w:cs="宋体"/>
                <w:color w:val="000000"/>
                <w:kern w:val="0"/>
                <w:sz w:val="21"/>
                <w:szCs w:val="21"/>
              </w:rPr>
            </w:pPr>
            <w:r>
              <w:rPr>
                <w:rFonts w:hint="eastAsia" w:ascii="黑体" w:hAnsi="宋体" w:eastAsia="黑体" w:cs="宋体"/>
                <w:color w:val="000000"/>
                <w:kern w:val="0"/>
                <w:sz w:val="21"/>
                <w:szCs w:val="21"/>
              </w:rPr>
              <w:t>建设内容</w:t>
            </w:r>
          </w:p>
        </w:tc>
        <w:tc>
          <w:tcPr>
            <w:tcW w:w="4515" w:type="dxa"/>
            <w:gridSpan w:val="4"/>
            <w:tcBorders>
              <w:top w:val="single" w:color="000000" w:sz="4" w:space="0"/>
              <w:left w:val="single" w:color="000000" w:sz="4" w:space="0"/>
              <w:bottom w:val="single" w:color="000000" w:sz="4" w:space="0"/>
              <w:right w:val="single" w:color="000000" w:sz="4" w:space="0"/>
            </w:tcBorders>
            <w:vAlign w:val="center"/>
          </w:tcPr>
          <w:p w14:paraId="31B3FE97">
            <w:pPr>
              <w:widowControl/>
              <w:spacing w:line="360" w:lineRule="exact"/>
              <w:jc w:val="both"/>
              <w:rPr>
                <w:rFonts w:ascii="黑体" w:hAnsi="宋体" w:eastAsia="黑体" w:cs="宋体"/>
                <w:color w:val="000000"/>
                <w:kern w:val="0"/>
                <w:sz w:val="21"/>
                <w:szCs w:val="21"/>
              </w:rPr>
            </w:pPr>
            <w:r>
              <w:rPr>
                <w:rFonts w:hint="eastAsia" w:ascii="黑体" w:hAnsi="宋体" w:eastAsia="黑体" w:cs="宋体"/>
                <w:color w:val="000000"/>
                <w:kern w:val="0"/>
                <w:sz w:val="21"/>
                <w:szCs w:val="21"/>
              </w:rPr>
              <w:t>实施主体</w:t>
            </w:r>
          </w:p>
        </w:tc>
      </w:tr>
      <w:tr w14:paraId="1DEB5AFE">
        <w:tblPrEx>
          <w:tblCellMar>
            <w:top w:w="15" w:type="dxa"/>
            <w:left w:w="108" w:type="dxa"/>
            <w:bottom w:w="15" w:type="dxa"/>
            <w:right w:w="108" w:type="dxa"/>
          </w:tblCellMar>
        </w:tblPrEx>
        <w:trPr>
          <w:trHeight w:val="906" w:hRule="atLeast"/>
        </w:trPr>
        <w:tc>
          <w:tcPr>
            <w:tcW w:w="485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DDD75F5">
            <w:pPr>
              <w:widowControl/>
              <w:jc w:val="both"/>
              <w:rPr>
                <w:rFonts w:ascii="黑体" w:hAnsi="宋体" w:eastAsia="黑体" w:cs="宋体"/>
                <w:color w:val="000000"/>
                <w:kern w:val="0"/>
                <w:sz w:val="21"/>
                <w:szCs w:val="21"/>
              </w:rPr>
            </w:pPr>
          </w:p>
        </w:tc>
        <w:tc>
          <w:tcPr>
            <w:tcW w:w="2010" w:type="dxa"/>
            <w:gridSpan w:val="2"/>
            <w:tcBorders>
              <w:top w:val="single" w:color="000000" w:sz="4" w:space="0"/>
              <w:left w:val="single" w:color="000000" w:sz="4" w:space="0"/>
              <w:bottom w:val="single" w:color="000000" w:sz="4" w:space="0"/>
              <w:right w:val="single" w:color="000000" w:sz="4" w:space="0"/>
            </w:tcBorders>
            <w:vAlign w:val="center"/>
          </w:tcPr>
          <w:p w14:paraId="1EDCDFE1">
            <w:pPr>
              <w:widowControl/>
              <w:spacing w:line="360" w:lineRule="exact"/>
              <w:jc w:val="both"/>
              <w:rPr>
                <w:rFonts w:hint="eastAsia" w:ascii="黑体" w:hAnsi="宋体" w:eastAsia="黑体" w:cs="宋体"/>
                <w:color w:val="000000"/>
                <w:kern w:val="0"/>
                <w:sz w:val="21"/>
                <w:szCs w:val="21"/>
              </w:rPr>
            </w:pPr>
            <w:r>
              <w:rPr>
                <w:rFonts w:hint="eastAsia" w:ascii="黑体" w:hAnsi="宋体" w:eastAsia="黑体" w:cs="宋体"/>
                <w:color w:val="000000"/>
                <w:kern w:val="0"/>
                <w:sz w:val="21"/>
                <w:szCs w:val="21"/>
              </w:rPr>
              <w:t>上级</w:t>
            </w:r>
          </w:p>
          <w:p w14:paraId="0DC6627F">
            <w:pPr>
              <w:widowControl/>
              <w:spacing w:line="360" w:lineRule="exact"/>
              <w:jc w:val="both"/>
              <w:rPr>
                <w:rFonts w:ascii="黑体" w:hAnsi="宋体" w:eastAsia="黑体" w:cs="宋体"/>
                <w:color w:val="000000"/>
                <w:kern w:val="0"/>
                <w:sz w:val="21"/>
                <w:szCs w:val="21"/>
              </w:rPr>
            </w:pPr>
            <w:r>
              <w:rPr>
                <w:rFonts w:hint="eastAsia" w:ascii="黑体" w:hAnsi="宋体" w:eastAsia="黑体" w:cs="宋体"/>
                <w:color w:val="000000"/>
                <w:kern w:val="0"/>
                <w:sz w:val="21"/>
                <w:szCs w:val="21"/>
              </w:rPr>
              <w:t>补助</w:t>
            </w:r>
          </w:p>
        </w:tc>
        <w:tc>
          <w:tcPr>
            <w:tcW w:w="955" w:type="dxa"/>
            <w:tcBorders>
              <w:top w:val="single" w:color="000000" w:sz="4" w:space="0"/>
              <w:left w:val="single" w:color="000000" w:sz="4" w:space="0"/>
              <w:bottom w:val="single" w:color="000000" w:sz="4" w:space="0"/>
              <w:right w:val="single" w:color="000000" w:sz="4" w:space="0"/>
            </w:tcBorders>
            <w:vAlign w:val="center"/>
          </w:tcPr>
          <w:p w14:paraId="2067E5AB">
            <w:pPr>
              <w:widowControl/>
              <w:spacing w:line="360" w:lineRule="exact"/>
              <w:jc w:val="both"/>
              <w:rPr>
                <w:rFonts w:hint="eastAsia" w:ascii="黑体" w:hAnsi="宋体" w:eastAsia="黑体" w:cs="宋体"/>
                <w:color w:val="000000"/>
                <w:kern w:val="0"/>
                <w:sz w:val="21"/>
                <w:szCs w:val="21"/>
              </w:rPr>
            </w:pPr>
            <w:r>
              <w:rPr>
                <w:rFonts w:hint="eastAsia" w:ascii="黑体" w:hAnsi="宋体" w:eastAsia="黑体" w:cs="宋体"/>
                <w:color w:val="000000"/>
                <w:kern w:val="0"/>
                <w:sz w:val="21"/>
                <w:szCs w:val="21"/>
              </w:rPr>
              <w:t>群众</w:t>
            </w:r>
          </w:p>
          <w:p w14:paraId="0431F2A3">
            <w:pPr>
              <w:widowControl/>
              <w:spacing w:line="360" w:lineRule="exact"/>
              <w:jc w:val="both"/>
              <w:rPr>
                <w:rFonts w:ascii="黑体" w:hAnsi="宋体" w:eastAsia="黑体" w:cs="宋体"/>
                <w:color w:val="000000"/>
                <w:kern w:val="0"/>
                <w:sz w:val="21"/>
                <w:szCs w:val="21"/>
              </w:rPr>
            </w:pPr>
            <w:r>
              <w:rPr>
                <w:rFonts w:hint="eastAsia" w:ascii="黑体" w:hAnsi="宋体" w:eastAsia="黑体" w:cs="宋体"/>
                <w:color w:val="000000"/>
                <w:kern w:val="0"/>
                <w:sz w:val="21"/>
                <w:szCs w:val="21"/>
              </w:rPr>
              <w:t>自筹</w:t>
            </w:r>
          </w:p>
        </w:tc>
        <w:tc>
          <w:tcPr>
            <w:tcW w:w="1550" w:type="dxa"/>
            <w:tcBorders>
              <w:top w:val="single" w:color="000000" w:sz="4" w:space="0"/>
              <w:left w:val="single" w:color="000000" w:sz="4" w:space="0"/>
              <w:bottom w:val="single" w:color="000000" w:sz="4" w:space="0"/>
              <w:right w:val="single" w:color="000000" w:sz="4" w:space="0"/>
            </w:tcBorders>
            <w:vAlign w:val="center"/>
          </w:tcPr>
          <w:p w14:paraId="767A05AD">
            <w:pPr>
              <w:widowControl/>
              <w:jc w:val="both"/>
              <w:rPr>
                <w:rFonts w:ascii="黑体" w:hAnsi="宋体" w:eastAsia="黑体" w:cs="宋体"/>
                <w:color w:val="000000"/>
                <w:kern w:val="0"/>
                <w:sz w:val="21"/>
                <w:szCs w:val="21"/>
              </w:rPr>
            </w:pPr>
          </w:p>
        </w:tc>
      </w:tr>
      <w:tr w14:paraId="29BBB009">
        <w:tblPrEx>
          <w:tblCellMar>
            <w:top w:w="15" w:type="dxa"/>
            <w:left w:w="108" w:type="dxa"/>
            <w:bottom w:w="15" w:type="dxa"/>
            <w:right w:w="108" w:type="dxa"/>
          </w:tblCellMar>
        </w:tblPrEx>
        <w:trPr>
          <w:trHeight w:val="2241" w:hRule="atLeast"/>
        </w:trPr>
        <w:tc>
          <w:tcPr>
            <w:tcW w:w="457" w:type="dxa"/>
            <w:vMerge w:val="restart"/>
            <w:tcBorders>
              <w:top w:val="single" w:color="000000" w:sz="4" w:space="0"/>
              <w:left w:val="single" w:color="000000" w:sz="4" w:space="0"/>
              <w:bottom w:val="single" w:color="000000" w:sz="4" w:space="0"/>
              <w:right w:val="single" w:color="000000" w:sz="4" w:space="0"/>
            </w:tcBorders>
            <w:vAlign w:val="center"/>
          </w:tcPr>
          <w:p w14:paraId="3AFCAADD">
            <w:pPr>
              <w:widowControl/>
              <w:spacing w:line="460" w:lineRule="exact"/>
              <w:jc w:val="both"/>
              <w:rPr>
                <w:rFonts w:hint="eastAsia" w:ascii="黑体" w:hAnsi="宋体" w:eastAsia="黑体" w:cs="宋体"/>
                <w:color w:val="000000"/>
                <w:kern w:val="0"/>
                <w:sz w:val="21"/>
                <w:szCs w:val="21"/>
              </w:rPr>
            </w:pPr>
            <w:r>
              <w:rPr>
                <w:rFonts w:hint="eastAsia" w:ascii="黑体" w:hAnsi="宋体" w:eastAsia="黑体" w:cs="宋体"/>
                <w:color w:val="000000"/>
                <w:kern w:val="0"/>
                <w:sz w:val="21"/>
                <w:szCs w:val="21"/>
              </w:rPr>
              <w:t>道路交通</w:t>
            </w:r>
          </w:p>
        </w:tc>
        <w:tc>
          <w:tcPr>
            <w:tcW w:w="4400" w:type="dxa"/>
            <w:tcBorders>
              <w:top w:val="single" w:color="000000" w:sz="4" w:space="0"/>
              <w:left w:val="single" w:color="000000" w:sz="4" w:space="0"/>
              <w:bottom w:val="single" w:color="000000" w:sz="4" w:space="0"/>
              <w:right w:val="single" w:color="000000" w:sz="4" w:space="0"/>
            </w:tcBorders>
            <w:vAlign w:val="center"/>
          </w:tcPr>
          <w:p w14:paraId="4D2CB900">
            <w:pPr>
              <w:ind w:left="209" w:leftChars="100" w:firstLine="209" w:firstLineChars="100"/>
              <w:rPr>
                <w:rFonts w:hint="eastAsia" w:ascii="仿宋_GB2312" w:hAnsi="宋体" w:cs="宋体"/>
                <w:color w:val="000000"/>
                <w:kern w:val="0"/>
                <w:sz w:val="21"/>
                <w:szCs w:val="21"/>
              </w:rPr>
            </w:pPr>
            <w:r>
              <w:rPr>
                <w:rFonts w:hint="eastAsia"/>
                <w:sz w:val="21"/>
                <w:szCs w:val="21"/>
              </w:rPr>
              <w:t>1）建设村</w:t>
            </w:r>
            <w:r>
              <w:rPr>
                <w:rFonts w:hint="eastAsia"/>
                <w:sz w:val="21"/>
                <w:szCs w:val="21"/>
                <w:lang w:eastAsia="zh-CN"/>
              </w:rPr>
              <w:t>西</w:t>
            </w:r>
            <w:r>
              <w:rPr>
                <w:rFonts w:hint="eastAsia"/>
                <w:sz w:val="21"/>
                <w:szCs w:val="21"/>
              </w:rPr>
              <w:t>北方向</w:t>
            </w:r>
            <w:r>
              <w:rPr>
                <w:rFonts w:hint="eastAsia"/>
                <w:sz w:val="21"/>
                <w:szCs w:val="21"/>
                <w:lang w:eastAsia="zh-CN"/>
              </w:rPr>
              <w:t>尹尼倒</w:t>
            </w:r>
            <w:r>
              <w:rPr>
                <w:rFonts w:hint="eastAsia"/>
                <w:sz w:val="21"/>
                <w:szCs w:val="21"/>
                <w:lang w:val="en-US" w:eastAsia="zh-CN"/>
              </w:rPr>
              <w:t>--</w:t>
            </w:r>
            <w:r>
              <w:rPr>
                <w:rFonts w:hint="eastAsia"/>
                <w:sz w:val="21"/>
                <w:szCs w:val="21"/>
              </w:rPr>
              <w:t>李泉家到东边的转弯处硬板主干道1条，长</w:t>
            </w:r>
            <w:r>
              <w:rPr>
                <w:rFonts w:hint="eastAsia"/>
                <w:sz w:val="21"/>
                <w:szCs w:val="21"/>
                <w:lang w:val="en-US" w:eastAsia="zh-CN"/>
              </w:rPr>
              <w:t>5</w:t>
            </w:r>
            <w:r>
              <w:rPr>
                <w:rFonts w:hint="eastAsia"/>
                <w:sz w:val="21"/>
                <w:szCs w:val="21"/>
              </w:rPr>
              <w:t>00m，宽度4.0m，厚度20cm，面积1</w:t>
            </w:r>
            <w:r>
              <w:rPr>
                <w:rFonts w:hint="eastAsia"/>
                <w:sz w:val="21"/>
                <w:szCs w:val="21"/>
                <w:lang w:val="en-US" w:eastAsia="zh-CN"/>
              </w:rPr>
              <w:t>5</w:t>
            </w:r>
            <w:r>
              <w:rPr>
                <w:rFonts w:hint="eastAsia"/>
                <w:sz w:val="21"/>
                <w:szCs w:val="21"/>
              </w:rPr>
              <w:t>00平方米，投资单价200元/平方米，概算投资</w:t>
            </w:r>
            <w:r>
              <w:rPr>
                <w:rFonts w:hint="eastAsia"/>
                <w:sz w:val="21"/>
                <w:szCs w:val="21"/>
                <w:lang w:val="en-US" w:eastAsia="zh-CN"/>
              </w:rPr>
              <w:t>30</w:t>
            </w:r>
            <w:r>
              <w:rPr>
                <w:rFonts w:hint="eastAsia"/>
                <w:sz w:val="21"/>
                <w:szCs w:val="21"/>
              </w:rPr>
              <w:t>万元。</w:t>
            </w:r>
          </w:p>
        </w:tc>
        <w:tc>
          <w:tcPr>
            <w:tcW w:w="2010" w:type="dxa"/>
            <w:gridSpan w:val="2"/>
            <w:tcBorders>
              <w:top w:val="single" w:color="000000" w:sz="4" w:space="0"/>
              <w:left w:val="single" w:color="000000" w:sz="4" w:space="0"/>
              <w:bottom w:val="single" w:color="000000" w:sz="4" w:space="0"/>
              <w:right w:val="single" w:color="000000" w:sz="4" w:space="0"/>
            </w:tcBorders>
            <w:vAlign w:val="center"/>
          </w:tcPr>
          <w:p w14:paraId="0A2FA0A7">
            <w:pPr>
              <w:widowControl/>
              <w:spacing w:line="460" w:lineRule="exact"/>
              <w:jc w:val="both"/>
              <w:rPr>
                <w:rFonts w:hint="eastAsia" w:ascii="仿宋_GB2312" w:hAnsi="宋体" w:cs="宋体" w:eastAsiaTheme="minorEastAsia"/>
                <w:color w:val="000000"/>
                <w:kern w:val="0"/>
                <w:sz w:val="21"/>
                <w:szCs w:val="21"/>
                <w:lang w:val="en-US" w:eastAsia="zh-CN"/>
              </w:rPr>
            </w:pPr>
            <w:r>
              <w:rPr>
                <w:rFonts w:hint="eastAsia" w:ascii="仿宋_GB2312" w:hAnsi="宋体" w:cs="宋体"/>
                <w:color w:val="000000"/>
                <w:kern w:val="0"/>
                <w:sz w:val="21"/>
                <w:szCs w:val="21"/>
                <w:lang w:val="en-US" w:eastAsia="zh-CN"/>
              </w:rPr>
              <w:t>30万元</w:t>
            </w:r>
          </w:p>
        </w:tc>
        <w:tc>
          <w:tcPr>
            <w:tcW w:w="955" w:type="dxa"/>
            <w:tcBorders>
              <w:top w:val="single" w:color="000000" w:sz="4" w:space="0"/>
              <w:left w:val="single" w:color="000000" w:sz="4" w:space="0"/>
              <w:bottom w:val="single" w:color="000000" w:sz="4" w:space="0"/>
              <w:right w:val="single" w:color="000000" w:sz="4" w:space="0"/>
            </w:tcBorders>
            <w:vAlign w:val="center"/>
          </w:tcPr>
          <w:p w14:paraId="76B7169D">
            <w:pPr>
              <w:widowControl/>
              <w:spacing w:line="460" w:lineRule="exact"/>
              <w:jc w:val="both"/>
              <w:rPr>
                <w:rFonts w:hint="eastAsia" w:ascii="仿宋_GB2312" w:hAnsi="宋体" w:cs="宋体"/>
                <w:color w:val="000000"/>
                <w:kern w:val="0"/>
                <w:sz w:val="21"/>
                <w:szCs w:val="21"/>
              </w:rPr>
            </w:pPr>
          </w:p>
        </w:tc>
        <w:tc>
          <w:tcPr>
            <w:tcW w:w="1550" w:type="dxa"/>
            <w:tcBorders>
              <w:top w:val="single" w:color="000000" w:sz="4" w:space="0"/>
              <w:left w:val="single" w:color="000000" w:sz="4" w:space="0"/>
              <w:bottom w:val="single" w:color="000000" w:sz="4" w:space="0"/>
              <w:right w:val="single" w:color="000000" w:sz="4" w:space="0"/>
            </w:tcBorders>
            <w:vAlign w:val="center"/>
          </w:tcPr>
          <w:p w14:paraId="21D646EA">
            <w:pPr>
              <w:widowControl/>
              <w:spacing w:line="460" w:lineRule="exact"/>
              <w:jc w:val="both"/>
              <w:rPr>
                <w:rFonts w:hint="eastAsia" w:ascii="仿宋_GB2312" w:hAnsi="宋体" w:cs="宋体"/>
                <w:color w:val="000000"/>
                <w:kern w:val="0"/>
                <w:sz w:val="21"/>
                <w:szCs w:val="21"/>
              </w:rPr>
            </w:pPr>
            <w:r>
              <w:rPr>
                <w:rFonts w:hint="eastAsia" w:ascii="仿宋_GB2312" w:hAnsi="宋体" w:cs="宋体"/>
                <w:color w:val="000000"/>
                <w:kern w:val="0"/>
                <w:sz w:val="21"/>
                <w:szCs w:val="21"/>
              </w:rPr>
              <w:t>县人民政府</w:t>
            </w:r>
          </w:p>
        </w:tc>
      </w:tr>
      <w:tr w14:paraId="3B8E732D">
        <w:tblPrEx>
          <w:tblCellMar>
            <w:top w:w="15" w:type="dxa"/>
            <w:left w:w="108" w:type="dxa"/>
            <w:bottom w:w="15" w:type="dxa"/>
            <w:right w:w="108" w:type="dxa"/>
          </w:tblCellMar>
        </w:tblPrEx>
        <w:trPr>
          <w:trHeight w:val="2031" w:hRule="atLeast"/>
        </w:trPr>
        <w:tc>
          <w:tcPr>
            <w:tcW w:w="457" w:type="dxa"/>
            <w:vMerge w:val="continue"/>
            <w:tcBorders>
              <w:top w:val="single" w:color="000000" w:sz="4" w:space="0"/>
              <w:left w:val="single" w:color="000000" w:sz="4" w:space="0"/>
              <w:bottom w:val="single" w:color="000000" w:sz="4" w:space="0"/>
              <w:right w:val="single" w:color="000000" w:sz="4" w:space="0"/>
            </w:tcBorders>
            <w:vAlign w:val="center"/>
          </w:tcPr>
          <w:p w14:paraId="19A724C6">
            <w:pPr>
              <w:widowControl/>
              <w:spacing w:line="460" w:lineRule="exact"/>
              <w:jc w:val="both"/>
              <w:rPr>
                <w:rFonts w:hint="eastAsia" w:ascii="仿宋_GB2312" w:hAnsi="宋体" w:cs="宋体"/>
                <w:color w:val="000000"/>
                <w:kern w:val="0"/>
                <w:sz w:val="21"/>
                <w:szCs w:val="21"/>
              </w:rPr>
            </w:pPr>
          </w:p>
        </w:tc>
        <w:tc>
          <w:tcPr>
            <w:tcW w:w="4400" w:type="dxa"/>
            <w:tcBorders>
              <w:top w:val="single" w:color="000000" w:sz="4" w:space="0"/>
              <w:left w:val="single" w:color="000000" w:sz="4" w:space="0"/>
              <w:bottom w:val="single" w:color="000000" w:sz="4" w:space="0"/>
              <w:right w:val="single" w:color="000000" w:sz="4" w:space="0"/>
            </w:tcBorders>
            <w:vAlign w:val="center"/>
          </w:tcPr>
          <w:p w14:paraId="6979FB04">
            <w:pPr>
              <w:ind w:left="209" w:leftChars="100" w:firstLine="209" w:firstLineChars="100"/>
              <w:rPr>
                <w:rFonts w:hint="eastAsia" w:ascii="仿宋_GB2312" w:hAnsi="宋体" w:cs="宋体"/>
                <w:color w:val="000000"/>
                <w:kern w:val="0"/>
                <w:sz w:val="21"/>
                <w:szCs w:val="21"/>
              </w:rPr>
            </w:pPr>
            <w:r>
              <w:rPr>
                <w:rFonts w:hint="eastAsia"/>
                <w:sz w:val="21"/>
                <w:szCs w:val="21"/>
              </w:rPr>
              <w:t>（2）建设村北面通向石佛洞方向硬板主干道1条，长300m，宽度4.0m，厚度20cm，面积1200平方米，投资单价200元/平方米，概算投资24万元</w:t>
            </w:r>
          </w:p>
        </w:tc>
        <w:tc>
          <w:tcPr>
            <w:tcW w:w="2010" w:type="dxa"/>
            <w:gridSpan w:val="2"/>
            <w:tcBorders>
              <w:top w:val="single" w:color="000000" w:sz="4" w:space="0"/>
              <w:left w:val="single" w:color="000000" w:sz="4" w:space="0"/>
              <w:bottom w:val="single" w:color="000000" w:sz="4" w:space="0"/>
              <w:right w:val="single" w:color="000000" w:sz="4" w:space="0"/>
            </w:tcBorders>
            <w:vAlign w:val="center"/>
          </w:tcPr>
          <w:p w14:paraId="4F9DB3B9">
            <w:pPr>
              <w:widowControl/>
              <w:spacing w:line="460" w:lineRule="exact"/>
              <w:jc w:val="both"/>
              <w:rPr>
                <w:rFonts w:hint="default" w:ascii="仿宋_GB2312" w:hAnsi="宋体" w:cs="宋体" w:eastAsiaTheme="minorEastAsia"/>
                <w:color w:val="000000"/>
                <w:kern w:val="0"/>
                <w:sz w:val="21"/>
                <w:szCs w:val="21"/>
                <w:lang w:val="en-US" w:eastAsia="zh-CN"/>
              </w:rPr>
            </w:pPr>
            <w:r>
              <w:rPr>
                <w:rFonts w:hint="eastAsia" w:ascii="仿宋_GB2312" w:hAnsi="宋体" w:cs="宋体"/>
                <w:color w:val="000000"/>
                <w:kern w:val="0"/>
                <w:sz w:val="21"/>
                <w:szCs w:val="21"/>
                <w:lang w:val="en-US" w:eastAsia="zh-CN"/>
              </w:rPr>
              <w:t>24万元</w:t>
            </w:r>
          </w:p>
        </w:tc>
        <w:tc>
          <w:tcPr>
            <w:tcW w:w="955" w:type="dxa"/>
            <w:tcBorders>
              <w:top w:val="single" w:color="000000" w:sz="4" w:space="0"/>
              <w:left w:val="single" w:color="000000" w:sz="4" w:space="0"/>
              <w:bottom w:val="single" w:color="000000" w:sz="4" w:space="0"/>
              <w:right w:val="single" w:color="000000" w:sz="4" w:space="0"/>
            </w:tcBorders>
            <w:vAlign w:val="center"/>
          </w:tcPr>
          <w:p w14:paraId="220B9CE4">
            <w:pPr>
              <w:widowControl/>
              <w:spacing w:line="460" w:lineRule="exact"/>
              <w:jc w:val="both"/>
              <w:rPr>
                <w:rFonts w:hint="eastAsia" w:ascii="仿宋_GB2312" w:hAnsi="宋体" w:cs="宋体"/>
                <w:color w:val="000000"/>
                <w:kern w:val="0"/>
                <w:sz w:val="21"/>
                <w:szCs w:val="21"/>
              </w:rPr>
            </w:pPr>
          </w:p>
        </w:tc>
        <w:tc>
          <w:tcPr>
            <w:tcW w:w="1550" w:type="dxa"/>
            <w:tcBorders>
              <w:top w:val="single" w:color="000000" w:sz="4" w:space="0"/>
              <w:left w:val="single" w:color="000000" w:sz="4" w:space="0"/>
              <w:bottom w:val="single" w:color="000000" w:sz="4" w:space="0"/>
              <w:right w:val="single" w:color="000000" w:sz="4" w:space="0"/>
            </w:tcBorders>
            <w:vAlign w:val="center"/>
          </w:tcPr>
          <w:p w14:paraId="139AA09A">
            <w:pPr>
              <w:widowControl/>
              <w:spacing w:line="460" w:lineRule="exact"/>
              <w:jc w:val="both"/>
              <w:rPr>
                <w:rFonts w:hint="eastAsia" w:ascii="仿宋_GB2312" w:hAnsi="宋体" w:cs="宋体"/>
                <w:color w:val="000000"/>
                <w:kern w:val="0"/>
                <w:sz w:val="21"/>
                <w:szCs w:val="21"/>
              </w:rPr>
            </w:pPr>
            <w:r>
              <w:rPr>
                <w:rFonts w:hint="eastAsia" w:ascii="仿宋_GB2312" w:hAnsi="宋体" w:cs="宋体"/>
                <w:color w:val="000000"/>
                <w:kern w:val="0"/>
                <w:sz w:val="21"/>
                <w:szCs w:val="21"/>
              </w:rPr>
              <w:t>镇人民政府</w:t>
            </w:r>
          </w:p>
        </w:tc>
      </w:tr>
      <w:tr w14:paraId="6FC61FE5">
        <w:tblPrEx>
          <w:tblCellMar>
            <w:top w:w="15" w:type="dxa"/>
            <w:left w:w="108" w:type="dxa"/>
            <w:bottom w:w="15" w:type="dxa"/>
            <w:right w:w="108" w:type="dxa"/>
          </w:tblCellMar>
        </w:tblPrEx>
        <w:trPr>
          <w:trHeight w:val="2286" w:hRule="atLeast"/>
        </w:trPr>
        <w:tc>
          <w:tcPr>
            <w:tcW w:w="457" w:type="dxa"/>
            <w:vMerge w:val="continue"/>
            <w:tcBorders>
              <w:top w:val="single" w:color="000000" w:sz="4" w:space="0"/>
              <w:left w:val="single" w:color="000000" w:sz="4" w:space="0"/>
              <w:bottom w:val="single" w:color="000000" w:sz="4" w:space="0"/>
              <w:right w:val="single" w:color="000000" w:sz="4" w:space="0"/>
            </w:tcBorders>
            <w:vAlign w:val="center"/>
          </w:tcPr>
          <w:p w14:paraId="0F9171AC">
            <w:pPr>
              <w:widowControl/>
              <w:spacing w:line="460" w:lineRule="exact"/>
              <w:jc w:val="both"/>
              <w:rPr>
                <w:rFonts w:hint="eastAsia" w:ascii="仿宋_GB2312" w:hAnsi="宋体" w:cs="宋体"/>
                <w:color w:val="000000"/>
                <w:kern w:val="0"/>
                <w:sz w:val="21"/>
                <w:szCs w:val="21"/>
              </w:rPr>
            </w:pPr>
          </w:p>
        </w:tc>
        <w:tc>
          <w:tcPr>
            <w:tcW w:w="4400" w:type="dxa"/>
            <w:tcBorders>
              <w:top w:val="single" w:color="000000" w:sz="4" w:space="0"/>
              <w:left w:val="single" w:color="000000" w:sz="4" w:space="0"/>
              <w:bottom w:val="single" w:color="000000" w:sz="4" w:space="0"/>
              <w:right w:val="single" w:color="000000" w:sz="4" w:space="0"/>
            </w:tcBorders>
            <w:vAlign w:val="center"/>
          </w:tcPr>
          <w:p w14:paraId="34D857B3">
            <w:pPr>
              <w:ind w:left="209" w:leftChars="100" w:firstLine="209" w:firstLineChars="100"/>
              <w:rPr>
                <w:rFonts w:hint="eastAsia" w:ascii="仿宋_GB2312" w:hAnsi="宋体" w:cs="宋体"/>
                <w:color w:val="000000"/>
                <w:kern w:val="0"/>
                <w:sz w:val="21"/>
                <w:szCs w:val="21"/>
              </w:rPr>
            </w:pPr>
            <w:r>
              <w:rPr>
                <w:rFonts w:hint="eastAsia"/>
                <w:sz w:val="21"/>
                <w:szCs w:val="21"/>
              </w:rPr>
              <w:t>（3）建设村西北</w:t>
            </w:r>
            <w:r>
              <w:rPr>
                <w:rFonts w:hint="eastAsia"/>
                <w:sz w:val="21"/>
                <w:szCs w:val="21"/>
                <w:lang w:eastAsia="zh-CN"/>
              </w:rPr>
              <w:t>尹岩块</w:t>
            </w:r>
            <w:r>
              <w:rPr>
                <w:rFonts w:hint="eastAsia"/>
                <w:sz w:val="21"/>
                <w:szCs w:val="21"/>
                <w:lang w:val="en-US" w:eastAsia="zh-CN"/>
              </w:rPr>
              <w:t>---</w:t>
            </w:r>
            <w:r>
              <w:rPr>
                <w:rFonts w:hint="eastAsia"/>
                <w:sz w:val="21"/>
                <w:szCs w:val="21"/>
              </w:rPr>
              <w:t>尹块改家入户道1条，长</w:t>
            </w:r>
            <w:r>
              <w:rPr>
                <w:rFonts w:hint="eastAsia"/>
                <w:sz w:val="21"/>
                <w:szCs w:val="21"/>
                <w:lang w:val="en-US" w:eastAsia="zh-CN"/>
              </w:rPr>
              <w:t>1</w:t>
            </w:r>
            <w:r>
              <w:rPr>
                <w:rFonts w:hint="eastAsia"/>
                <w:sz w:val="21"/>
                <w:szCs w:val="21"/>
              </w:rPr>
              <w:t>00m，宽度2.5m，厚度15cm，面积</w:t>
            </w:r>
            <w:r>
              <w:rPr>
                <w:rFonts w:hint="eastAsia"/>
                <w:sz w:val="21"/>
                <w:szCs w:val="21"/>
                <w:lang w:val="en-US" w:eastAsia="zh-CN"/>
              </w:rPr>
              <w:t>25</w:t>
            </w:r>
            <w:r>
              <w:rPr>
                <w:rFonts w:hint="eastAsia"/>
                <w:sz w:val="21"/>
                <w:szCs w:val="21"/>
              </w:rPr>
              <w:t>0平方米，投资单价200元/平方米，概算投资</w:t>
            </w:r>
            <w:r>
              <w:rPr>
                <w:rFonts w:hint="eastAsia"/>
                <w:sz w:val="21"/>
                <w:szCs w:val="21"/>
                <w:lang w:val="en-US" w:eastAsia="zh-CN"/>
              </w:rPr>
              <w:t>5</w:t>
            </w:r>
            <w:r>
              <w:rPr>
                <w:rFonts w:hint="eastAsia"/>
                <w:sz w:val="21"/>
                <w:szCs w:val="21"/>
              </w:rPr>
              <w:t>万元</w:t>
            </w:r>
          </w:p>
        </w:tc>
        <w:tc>
          <w:tcPr>
            <w:tcW w:w="2010" w:type="dxa"/>
            <w:gridSpan w:val="2"/>
            <w:tcBorders>
              <w:top w:val="single" w:color="000000" w:sz="4" w:space="0"/>
              <w:left w:val="single" w:color="000000" w:sz="4" w:space="0"/>
              <w:bottom w:val="single" w:color="000000" w:sz="4" w:space="0"/>
              <w:right w:val="single" w:color="000000" w:sz="4" w:space="0"/>
            </w:tcBorders>
            <w:vAlign w:val="center"/>
          </w:tcPr>
          <w:p w14:paraId="2D94CBDD">
            <w:pPr>
              <w:widowControl/>
              <w:spacing w:line="460" w:lineRule="exact"/>
              <w:jc w:val="both"/>
              <w:rPr>
                <w:rFonts w:hint="eastAsia" w:ascii="仿宋_GB2312" w:hAnsi="宋体" w:cs="宋体" w:eastAsiaTheme="minorEastAsia"/>
                <w:color w:val="000000"/>
                <w:kern w:val="0"/>
                <w:sz w:val="21"/>
                <w:szCs w:val="21"/>
                <w:lang w:val="en-US" w:eastAsia="zh-CN"/>
              </w:rPr>
            </w:pPr>
            <w:r>
              <w:rPr>
                <w:rFonts w:hint="eastAsia" w:ascii="仿宋_GB2312" w:hAnsi="宋体" w:cs="宋体"/>
                <w:color w:val="000000"/>
                <w:kern w:val="0"/>
                <w:sz w:val="21"/>
                <w:szCs w:val="21"/>
                <w:lang w:val="en-US" w:eastAsia="zh-CN"/>
              </w:rPr>
              <w:t>5万元</w:t>
            </w:r>
          </w:p>
        </w:tc>
        <w:tc>
          <w:tcPr>
            <w:tcW w:w="955" w:type="dxa"/>
            <w:tcBorders>
              <w:top w:val="single" w:color="000000" w:sz="4" w:space="0"/>
              <w:left w:val="single" w:color="000000" w:sz="4" w:space="0"/>
              <w:bottom w:val="single" w:color="000000" w:sz="4" w:space="0"/>
              <w:right w:val="single" w:color="000000" w:sz="4" w:space="0"/>
            </w:tcBorders>
            <w:vAlign w:val="center"/>
          </w:tcPr>
          <w:p w14:paraId="29BA74FE">
            <w:pPr>
              <w:widowControl/>
              <w:spacing w:line="460" w:lineRule="exact"/>
              <w:jc w:val="both"/>
              <w:rPr>
                <w:rFonts w:hint="eastAsia" w:ascii="仿宋_GB2312" w:hAnsi="宋体" w:cs="宋体"/>
                <w:color w:val="000000"/>
                <w:kern w:val="0"/>
                <w:sz w:val="21"/>
                <w:szCs w:val="21"/>
              </w:rPr>
            </w:pPr>
          </w:p>
        </w:tc>
        <w:tc>
          <w:tcPr>
            <w:tcW w:w="1550" w:type="dxa"/>
            <w:tcBorders>
              <w:top w:val="single" w:color="000000" w:sz="4" w:space="0"/>
              <w:left w:val="single" w:color="000000" w:sz="4" w:space="0"/>
              <w:bottom w:val="single" w:color="000000" w:sz="4" w:space="0"/>
              <w:right w:val="single" w:color="000000" w:sz="4" w:space="0"/>
            </w:tcBorders>
            <w:vAlign w:val="center"/>
          </w:tcPr>
          <w:p w14:paraId="5F3A816C">
            <w:pPr>
              <w:widowControl/>
              <w:spacing w:line="460" w:lineRule="exact"/>
              <w:jc w:val="both"/>
              <w:rPr>
                <w:rFonts w:hint="eastAsia" w:ascii="仿宋_GB2312" w:hAnsi="宋体" w:cs="宋体"/>
                <w:color w:val="000000"/>
                <w:kern w:val="0"/>
                <w:sz w:val="21"/>
                <w:szCs w:val="21"/>
              </w:rPr>
            </w:pPr>
            <w:r>
              <w:rPr>
                <w:rFonts w:hint="eastAsia" w:ascii="仿宋_GB2312" w:hAnsi="宋体" w:cs="宋体"/>
                <w:color w:val="000000"/>
                <w:kern w:val="0"/>
                <w:sz w:val="21"/>
                <w:szCs w:val="21"/>
              </w:rPr>
              <w:t>镇人民政府</w:t>
            </w:r>
          </w:p>
        </w:tc>
      </w:tr>
      <w:tr w14:paraId="5DB3D5D6">
        <w:tblPrEx>
          <w:tblCellMar>
            <w:top w:w="15" w:type="dxa"/>
            <w:left w:w="108" w:type="dxa"/>
            <w:bottom w:w="15" w:type="dxa"/>
            <w:right w:w="108" w:type="dxa"/>
          </w:tblCellMar>
        </w:tblPrEx>
        <w:trPr>
          <w:trHeight w:val="465" w:hRule="atLeast"/>
        </w:trPr>
        <w:tc>
          <w:tcPr>
            <w:tcW w:w="457" w:type="dxa"/>
            <w:vMerge w:val="continue"/>
            <w:tcBorders>
              <w:top w:val="single" w:color="000000" w:sz="4" w:space="0"/>
              <w:left w:val="single" w:color="000000" w:sz="4" w:space="0"/>
              <w:bottom w:val="single" w:color="000000" w:sz="4" w:space="0"/>
              <w:right w:val="single" w:color="000000" w:sz="4" w:space="0"/>
            </w:tcBorders>
            <w:vAlign w:val="center"/>
          </w:tcPr>
          <w:p w14:paraId="650D8C2C">
            <w:pPr>
              <w:widowControl/>
              <w:spacing w:line="460" w:lineRule="exact"/>
              <w:jc w:val="both"/>
              <w:rPr>
                <w:rFonts w:hint="eastAsia" w:ascii="仿宋_GB2312" w:hAnsi="宋体" w:cs="宋体"/>
                <w:color w:val="000000"/>
                <w:kern w:val="0"/>
                <w:sz w:val="21"/>
                <w:szCs w:val="21"/>
              </w:rPr>
            </w:pPr>
          </w:p>
        </w:tc>
        <w:tc>
          <w:tcPr>
            <w:tcW w:w="4400" w:type="dxa"/>
            <w:tcBorders>
              <w:top w:val="single" w:color="000000" w:sz="4" w:space="0"/>
              <w:left w:val="single" w:color="000000" w:sz="4" w:space="0"/>
              <w:bottom w:val="single" w:color="000000" w:sz="4" w:space="0"/>
              <w:right w:val="single" w:color="000000" w:sz="4" w:space="0"/>
            </w:tcBorders>
            <w:vAlign w:val="center"/>
          </w:tcPr>
          <w:p w14:paraId="30DF337A">
            <w:pPr>
              <w:ind w:left="209" w:leftChars="100" w:firstLine="209" w:firstLineChars="100"/>
              <w:rPr>
                <w:rFonts w:hint="eastAsia" w:ascii="仿宋_GB2312" w:hAnsi="宋体" w:cs="宋体"/>
                <w:color w:val="000000"/>
                <w:kern w:val="0"/>
                <w:sz w:val="21"/>
                <w:szCs w:val="21"/>
              </w:rPr>
            </w:pPr>
            <w:r>
              <w:rPr>
                <w:rFonts w:hint="eastAsia"/>
                <w:sz w:val="21"/>
                <w:szCs w:val="21"/>
              </w:rPr>
              <w:t>（4）建设赵</w:t>
            </w:r>
            <w:r>
              <w:rPr>
                <w:rFonts w:hint="eastAsia"/>
                <w:sz w:val="21"/>
                <w:szCs w:val="21"/>
                <w:lang w:eastAsia="zh-CN"/>
              </w:rPr>
              <w:t>岩改</w:t>
            </w:r>
            <w:r>
              <w:rPr>
                <w:rFonts w:hint="eastAsia"/>
                <w:sz w:val="21"/>
                <w:szCs w:val="21"/>
                <w:lang w:val="en-US" w:eastAsia="zh-CN"/>
              </w:rPr>
              <w:t>--尹艾嘎--鲍依保家</w:t>
            </w:r>
            <w:r>
              <w:rPr>
                <w:rFonts w:hint="eastAsia"/>
                <w:sz w:val="21"/>
                <w:szCs w:val="21"/>
              </w:rPr>
              <w:t>入户路一条，长</w:t>
            </w:r>
            <w:r>
              <w:rPr>
                <w:rFonts w:hint="eastAsia"/>
                <w:sz w:val="21"/>
                <w:szCs w:val="21"/>
                <w:lang w:val="en-US" w:eastAsia="zh-CN"/>
              </w:rPr>
              <w:t>1</w:t>
            </w:r>
            <w:r>
              <w:rPr>
                <w:rFonts w:hint="eastAsia"/>
                <w:sz w:val="21"/>
                <w:szCs w:val="21"/>
              </w:rPr>
              <w:t>50m，宽度1.5m，厚度15cm，面积75平方米，投资单价200元/平方米，概算投资</w:t>
            </w:r>
            <w:r>
              <w:rPr>
                <w:rFonts w:hint="eastAsia"/>
                <w:sz w:val="21"/>
                <w:szCs w:val="21"/>
                <w:lang w:val="en-US" w:eastAsia="zh-CN"/>
              </w:rPr>
              <w:t>4</w:t>
            </w:r>
            <w:r>
              <w:rPr>
                <w:rFonts w:hint="eastAsia"/>
                <w:sz w:val="21"/>
                <w:szCs w:val="21"/>
              </w:rPr>
              <w:t>.5万元。</w:t>
            </w:r>
          </w:p>
        </w:tc>
        <w:tc>
          <w:tcPr>
            <w:tcW w:w="2010" w:type="dxa"/>
            <w:gridSpan w:val="2"/>
            <w:tcBorders>
              <w:top w:val="single" w:color="000000" w:sz="4" w:space="0"/>
              <w:left w:val="single" w:color="000000" w:sz="4" w:space="0"/>
              <w:bottom w:val="single" w:color="000000" w:sz="4" w:space="0"/>
              <w:right w:val="single" w:color="000000" w:sz="4" w:space="0"/>
            </w:tcBorders>
            <w:vAlign w:val="center"/>
          </w:tcPr>
          <w:p w14:paraId="5C2681BE">
            <w:pPr>
              <w:widowControl/>
              <w:spacing w:line="460" w:lineRule="exact"/>
              <w:jc w:val="both"/>
              <w:rPr>
                <w:rFonts w:hint="default" w:ascii="仿宋_GB2312" w:hAnsi="宋体" w:cs="宋体" w:eastAsiaTheme="minorEastAsia"/>
                <w:color w:val="000000"/>
                <w:kern w:val="0"/>
                <w:sz w:val="21"/>
                <w:szCs w:val="21"/>
                <w:lang w:val="en-US" w:eastAsia="zh-CN"/>
              </w:rPr>
            </w:pPr>
            <w:r>
              <w:rPr>
                <w:rFonts w:hint="eastAsia" w:ascii="仿宋_GB2312" w:hAnsi="宋体" w:cs="宋体"/>
                <w:color w:val="000000"/>
                <w:kern w:val="0"/>
                <w:sz w:val="21"/>
                <w:szCs w:val="21"/>
                <w:lang w:val="en-US" w:eastAsia="zh-CN"/>
              </w:rPr>
              <w:t>4.5万元</w:t>
            </w:r>
          </w:p>
        </w:tc>
        <w:tc>
          <w:tcPr>
            <w:tcW w:w="955" w:type="dxa"/>
            <w:tcBorders>
              <w:top w:val="single" w:color="000000" w:sz="4" w:space="0"/>
              <w:left w:val="single" w:color="000000" w:sz="4" w:space="0"/>
              <w:bottom w:val="single" w:color="000000" w:sz="4" w:space="0"/>
              <w:right w:val="single" w:color="000000" w:sz="4" w:space="0"/>
            </w:tcBorders>
            <w:vAlign w:val="center"/>
          </w:tcPr>
          <w:p w14:paraId="2E177B19">
            <w:pPr>
              <w:widowControl/>
              <w:spacing w:line="460" w:lineRule="exact"/>
              <w:jc w:val="both"/>
              <w:rPr>
                <w:rFonts w:hint="eastAsia" w:ascii="仿宋_GB2312" w:hAnsi="宋体" w:cs="宋体"/>
                <w:color w:val="000000"/>
                <w:kern w:val="0"/>
                <w:sz w:val="21"/>
                <w:szCs w:val="21"/>
              </w:rPr>
            </w:pPr>
          </w:p>
        </w:tc>
        <w:tc>
          <w:tcPr>
            <w:tcW w:w="1550" w:type="dxa"/>
            <w:tcBorders>
              <w:top w:val="single" w:color="000000" w:sz="4" w:space="0"/>
              <w:left w:val="single" w:color="000000" w:sz="4" w:space="0"/>
              <w:bottom w:val="single" w:color="000000" w:sz="4" w:space="0"/>
              <w:right w:val="single" w:color="000000" w:sz="4" w:space="0"/>
            </w:tcBorders>
            <w:vAlign w:val="center"/>
          </w:tcPr>
          <w:p w14:paraId="40A13B1D">
            <w:pPr>
              <w:widowControl/>
              <w:spacing w:line="460" w:lineRule="exact"/>
              <w:jc w:val="both"/>
              <w:rPr>
                <w:rFonts w:hint="eastAsia" w:ascii="仿宋_GB2312" w:hAnsi="宋体" w:cs="宋体"/>
                <w:color w:val="000000"/>
                <w:kern w:val="0"/>
                <w:sz w:val="21"/>
                <w:szCs w:val="21"/>
              </w:rPr>
            </w:pPr>
            <w:r>
              <w:rPr>
                <w:rFonts w:hint="eastAsia" w:ascii="仿宋_GB2312" w:hAnsi="宋体" w:cs="宋体"/>
                <w:color w:val="000000"/>
                <w:kern w:val="0"/>
                <w:sz w:val="21"/>
                <w:szCs w:val="21"/>
              </w:rPr>
              <w:t>镇人民政府</w:t>
            </w:r>
          </w:p>
        </w:tc>
      </w:tr>
      <w:tr w14:paraId="1EE6CDE0">
        <w:tblPrEx>
          <w:tblCellMar>
            <w:top w:w="15" w:type="dxa"/>
            <w:left w:w="108" w:type="dxa"/>
            <w:bottom w:w="15" w:type="dxa"/>
            <w:right w:w="108" w:type="dxa"/>
          </w:tblCellMar>
        </w:tblPrEx>
        <w:trPr>
          <w:trHeight w:val="465" w:hRule="atLeast"/>
        </w:trPr>
        <w:tc>
          <w:tcPr>
            <w:tcW w:w="457" w:type="dxa"/>
            <w:vMerge w:val="continue"/>
            <w:tcBorders>
              <w:top w:val="single" w:color="000000" w:sz="4" w:space="0"/>
              <w:left w:val="single" w:color="000000" w:sz="4" w:space="0"/>
              <w:bottom w:val="single" w:color="000000" w:sz="4" w:space="0"/>
              <w:right w:val="single" w:color="000000" w:sz="4" w:space="0"/>
            </w:tcBorders>
            <w:vAlign w:val="center"/>
          </w:tcPr>
          <w:p w14:paraId="52465B4D">
            <w:pPr>
              <w:widowControl/>
              <w:spacing w:line="460" w:lineRule="exact"/>
              <w:jc w:val="both"/>
              <w:rPr>
                <w:rFonts w:hint="eastAsia" w:ascii="仿宋_GB2312" w:hAnsi="宋体" w:cs="宋体"/>
                <w:color w:val="000000"/>
                <w:kern w:val="0"/>
                <w:sz w:val="21"/>
                <w:szCs w:val="21"/>
              </w:rPr>
            </w:pPr>
          </w:p>
        </w:tc>
        <w:tc>
          <w:tcPr>
            <w:tcW w:w="4400" w:type="dxa"/>
            <w:tcBorders>
              <w:top w:val="single" w:color="000000" w:sz="4" w:space="0"/>
              <w:left w:val="single" w:color="000000" w:sz="4" w:space="0"/>
              <w:bottom w:val="single" w:color="000000" w:sz="4" w:space="0"/>
              <w:right w:val="single" w:color="000000" w:sz="4" w:space="0"/>
            </w:tcBorders>
            <w:vAlign w:val="center"/>
          </w:tcPr>
          <w:p w14:paraId="2F7958A1">
            <w:pPr>
              <w:ind w:left="209" w:leftChars="100" w:firstLine="209" w:firstLineChars="100"/>
              <w:rPr>
                <w:rFonts w:hint="eastAsia" w:ascii="仿宋_GB2312" w:hAnsi="宋体" w:cs="宋体"/>
                <w:color w:val="000000"/>
                <w:kern w:val="0"/>
                <w:sz w:val="21"/>
                <w:szCs w:val="21"/>
              </w:rPr>
            </w:pPr>
            <w:r>
              <w:rPr>
                <w:rFonts w:hint="eastAsia"/>
                <w:sz w:val="21"/>
                <w:szCs w:val="21"/>
                <w:lang w:eastAsia="zh-CN"/>
              </w:rPr>
              <w:t>（</w:t>
            </w:r>
            <w:r>
              <w:rPr>
                <w:rFonts w:hint="eastAsia"/>
                <w:sz w:val="21"/>
                <w:szCs w:val="21"/>
              </w:rPr>
              <w:t>5）建设赵荣到家到赵块搞家入户路一条，长10m，宽度1m，厚度15cm，面积10平方米，投资单价200元/平方米，概算投资</w:t>
            </w:r>
            <w:r>
              <w:rPr>
                <w:rFonts w:hint="eastAsia"/>
                <w:sz w:val="21"/>
                <w:szCs w:val="21"/>
                <w:lang w:val="en-US" w:eastAsia="zh-CN"/>
              </w:rPr>
              <w:t>0.2万</w:t>
            </w:r>
            <w:r>
              <w:rPr>
                <w:rFonts w:hint="eastAsia"/>
                <w:sz w:val="21"/>
                <w:szCs w:val="21"/>
              </w:rPr>
              <w:t>元。</w:t>
            </w:r>
          </w:p>
        </w:tc>
        <w:tc>
          <w:tcPr>
            <w:tcW w:w="2010" w:type="dxa"/>
            <w:gridSpan w:val="2"/>
            <w:tcBorders>
              <w:top w:val="single" w:color="000000" w:sz="4" w:space="0"/>
              <w:left w:val="single" w:color="000000" w:sz="4" w:space="0"/>
              <w:bottom w:val="single" w:color="000000" w:sz="4" w:space="0"/>
              <w:right w:val="single" w:color="000000" w:sz="4" w:space="0"/>
            </w:tcBorders>
            <w:vAlign w:val="center"/>
          </w:tcPr>
          <w:p w14:paraId="50114E2A">
            <w:pPr>
              <w:widowControl/>
              <w:spacing w:line="460" w:lineRule="exact"/>
              <w:jc w:val="both"/>
              <w:rPr>
                <w:rFonts w:hint="default" w:ascii="仿宋_GB2312" w:hAnsi="宋体" w:cs="宋体" w:eastAsiaTheme="minorEastAsia"/>
                <w:color w:val="000000"/>
                <w:kern w:val="0"/>
                <w:sz w:val="21"/>
                <w:szCs w:val="21"/>
                <w:lang w:val="en-US" w:eastAsia="zh-CN"/>
              </w:rPr>
            </w:pPr>
            <w:r>
              <w:rPr>
                <w:rFonts w:hint="eastAsia" w:ascii="仿宋_GB2312" w:hAnsi="宋体" w:cs="宋体"/>
                <w:color w:val="000000"/>
                <w:kern w:val="0"/>
                <w:sz w:val="21"/>
                <w:szCs w:val="21"/>
                <w:lang w:val="en-US" w:eastAsia="zh-CN"/>
              </w:rPr>
              <w:t>0.2万元</w:t>
            </w:r>
          </w:p>
        </w:tc>
        <w:tc>
          <w:tcPr>
            <w:tcW w:w="955" w:type="dxa"/>
            <w:tcBorders>
              <w:top w:val="single" w:color="000000" w:sz="4" w:space="0"/>
              <w:left w:val="single" w:color="000000" w:sz="4" w:space="0"/>
              <w:bottom w:val="single" w:color="000000" w:sz="4" w:space="0"/>
              <w:right w:val="single" w:color="000000" w:sz="4" w:space="0"/>
            </w:tcBorders>
            <w:vAlign w:val="center"/>
          </w:tcPr>
          <w:p w14:paraId="113CCBEA">
            <w:pPr>
              <w:widowControl/>
              <w:spacing w:line="460" w:lineRule="exact"/>
              <w:jc w:val="both"/>
              <w:rPr>
                <w:rFonts w:hint="eastAsia" w:ascii="仿宋_GB2312" w:hAnsi="宋体" w:cs="宋体"/>
                <w:color w:val="000000"/>
                <w:kern w:val="0"/>
                <w:sz w:val="21"/>
                <w:szCs w:val="21"/>
              </w:rPr>
            </w:pPr>
          </w:p>
        </w:tc>
        <w:tc>
          <w:tcPr>
            <w:tcW w:w="1550" w:type="dxa"/>
            <w:tcBorders>
              <w:top w:val="single" w:color="000000" w:sz="4" w:space="0"/>
              <w:left w:val="single" w:color="000000" w:sz="4" w:space="0"/>
              <w:bottom w:val="single" w:color="000000" w:sz="4" w:space="0"/>
              <w:right w:val="single" w:color="000000" w:sz="4" w:space="0"/>
            </w:tcBorders>
            <w:vAlign w:val="center"/>
          </w:tcPr>
          <w:p w14:paraId="2F7498D7">
            <w:pPr>
              <w:widowControl/>
              <w:spacing w:line="460" w:lineRule="exact"/>
              <w:jc w:val="both"/>
              <w:rPr>
                <w:rFonts w:hint="eastAsia" w:ascii="仿宋_GB2312" w:hAnsi="宋体" w:cs="宋体"/>
                <w:color w:val="000000"/>
                <w:kern w:val="0"/>
                <w:sz w:val="21"/>
                <w:szCs w:val="21"/>
              </w:rPr>
            </w:pPr>
            <w:r>
              <w:rPr>
                <w:rFonts w:hint="eastAsia" w:ascii="仿宋_GB2312" w:hAnsi="宋体" w:cs="宋体"/>
                <w:color w:val="000000"/>
                <w:kern w:val="0"/>
                <w:sz w:val="21"/>
                <w:szCs w:val="21"/>
              </w:rPr>
              <w:t>镇人民政府</w:t>
            </w:r>
          </w:p>
        </w:tc>
      </w:tr>
      <w:tr w14:paraId="4F7571C6">
        <w:tblPrEx>
          <w:tblCellMar>
            <w:top w:w="15" w:type="dxa"/>
            <w:left w:w="108" w:type="dxa"/>
            <w:bottom w:w="15" w:type="dxa"/>
            <w:right w:w="108" w:type="dxa"/>
          </w:tblCellMar>
        </w:tblPrEx>
        <w:trPr>
          <w:trHeight w:val="465" w:hRule="atLeast"/>
        </w:trPr>
        <w:tc>
          <w:tcPr>
            <w:tcW w:w="457" w:type="dxa"/>
            <w:vMerge w:val="continue"/>
            <w:tcBorders>
              <w:top w:val="single" w:color="000000" w:sz="4" w:space="0"/>
              <w:left w:val="single" w:color="000000" w:sz="4" w:space="0"/>
              <w:bottom w:val="single" w:color="000000" w:sz="4" w:space="0"/>
              <w:right w:val="single" w:color="000000" w:sz="4" w:space="0"/>
            </w:tcBorders>
            <w:vAlign w:val="center"/>
          </w:tcPr>
          <w:p w14:paraId="62089D94">
            <w:pPr>
              <w:widowControl/>
              <w:spacing w:line="460" w:lineRule="exact"/>
              <w:jc w:val="both"/>
              <w:rPr>
                <w:rFonts w:hint="eastAsia" w:ascii="仿宋_GB2312" w:hAnsi="宋体" w:cs="宋体"/>
                <w:color w:val="000000"/>
                <w:kern w:val="0"/>
                <w:sz w:val="21"/>
                <w:szCs w:val="21"/>
              </w:rPr>
            </w:pPr>
          </w:p>
        </w:tc>
        <w:tc>
          <w:tcPr>
            <w:tcW w:w="4400" w:type="dxa"/>
            <w:tcBorders>
              <w:top w:val="single" w:color="000000" w:sz="4" w:space="0"/>
              <w:left w:val="single" w:color="000000" w:sz="4" w:space="0"/>
              <w:bottom w:val="single" w:color="000000" w:sz="4" w:space="0"/>
              <w:right w:val="single" w:color="000000" w:sz="4" w:space="0"/>
            </w:tcBorders>
            <w:vAlign w:val="center"/>
          </w:tcPr>
          <w:p w14:paraId="43A749C9">
            <w:pPr>
              <w:ind w:left="209" w:leftChars="100" w:firstLine="209" w:firstLineChars="100"/>
              <w:rPr>
                <w:rFonts w:hint="eastAsia" w:ascii="仿宋_GB2312" w:hAnsi="宋体" w:cs="宋体"/>
                <w:color w:val="000000"/>
                <w:kern w:val="0"/>
                <w:sz w:val="21"/>
                <w:szCs w:val="21"/>
              </w:rPr>
            </w:pPr>
            <w:r>
              <w:rPr>
                <w:rFonts w:hint="eastAsia"/>
                <w:sz w:val="21"/>
                <w:szCs w:val="21"/>
                <w:lang w:val="en-US" w:eastAsia="zh-CN"/>
              </w:rPr>
              <w:t>（6</w:t>
            </w:r>
            <w:r>
              <w:rPr>
                <w:rFonts w:hint="eastAsia"/>
                <w:sz w:val="21"/>
                <w:szCs w:val="21"/>
              </w:rPr>
              <w:t>）建设赵</w:t>
            </w:r>
            <w:r>
              <w:rPr>
                <w:rFonts w:hint="eastAsia"/>
                <w:sz w:val="21"/>
                <w:szCs w:val="21"/>
                <w:lang w:eastAsia="zh-CN"/>
              </w:rPr>
              <w:t>赛那</w:t>
            </w:r>
            <w:r>
              <w:rPr>
                <w:rFonts w:hint="eastAsia"/>
                <w:sz w:val="21"/>
                <w:szCs w:val="21"/>
              </w:rPr>
              <w:t>家到</w:t>
            </w:r>
            <w:r>
              <w:rPr>
                <w:rFonts w:hint="eastAsia"/>
                <w:sz w:val="21"/>
                <w:szCs w:val="21"/>
                <w:lang w:eastAsia="zh-CN"/>
              </w:rPr>
              <w:t>球场</w:t>
            </w:r>
            <w:r>
              <w:rPr>
                <w:rFonts w:hint="eastAsia"/>
                <w:sz w:val="21"/>
                <w:szCs w:val="21"/>
              </w:rPr>
              <w:t>入户路一条，长</w:t>
            </w:r>
            <w:r>
              <w:rPr>
                <w:rFonts w:hint="eastAsia"/>
                <w:sz w:val="21"/>
                <w:szCs w:val="21"/>
                <w:lang w:val="en-US" w:eastAsia="zh-CN"/>
              </w:rPr>
              <w:t>9</w:t>
            </w:r>
            <w:r>
              <w:rPr>
                <w:rFonts w:hint="eastAsia"/>
                <w:sz w:val="21"/>
                <w:szCs w:val="21"/>
              </w:rPr>
              <w:t>0m，宽度1m，厚度15cm，面积</w:t>
            </w:r>
            <w:r>
              <w:rPr>
                <w:rFonts w:hint="eastAsia"/>
                <w:sz w:val="21"/>
                <w:szCs w:val="21"/>
                <w:lang w:val="en-US" w:eastAsia="zh-CN"/>
              </w:rPr>
              <w:t>9</w:t>
            </w:r>
            <w:r>
              <w:rPr>
                <w:rFonts w:hint="eastAsia"/>
                <w:sz w:val="21"/>
                <w:szCs w:val="21"/>
              </w:rPr>
              <w:t>0平方米，投资单价200元/平方米，概算投资</w:t>
            </w:r>
            <w:r>
              <w:rPr>
                <w:rFonts w:hint="eastAsia"/>
                <w:sz w:val="21"/>
                <w:szCs w:val="21"/>
                <w:lang w:val="en-US" w:eastAsia="zh-CN"/>
              </w:rPr>
              <w:t>1.8万</w:t>
            </w:r>
            <w:r>
              <w:rPr>
                <w:rFonts w:hint="eastAsia"/>
                <w:sz w:val="21"/>
                <w:szCs w:val="21"/>
              </w:rPr>
              <w:t>元。</w:t>
            </w:r>
          </w:p>
        </w:tc>
        <w:tc>
          <w:tcPr>
            <w:tcW w:w="2010" w:type="dxa"/>
            <w:gridSpan w:val="2"/>
            <w:tcBorders>
              <w:top w:val="single" w:color="000000" w:sz="4" w:space="0"/>
              <w:left w:val="single" w:color="000000" w:sz="4" w:space="0"/>
              <w:bottom w:val="single" w:color="000000" w:sz="4" w:space="0"/>
              <w:right w:val="single" w:color="000000" w:sz="4" w:space="0"/>
            </w:tcBorders>
            <w:vAlign w:val="center"/>
          </w:tcPr>
          <w:p w14:paraId="30260935">
            <w:pPr>
              <w:widowControl/>
              <w:spacing w:line="460" w:lineRule="exact"/>
              <w:jc w:val="both"/>
              <w:rPr>
                <w:rFonts w:hint="default" w:ascii="仿宋_GB2312" w:hAnsi="宋体" w:cs="宋体" w:eastAsiaTheme="minorEastAsia"/>
                <w:color w:val="000000"/>
                <w:kern w:val="0"/>
                <w:sz w:val="21"/>
                <w:szCs w:val="21"/>
                <w:lang w:val="en-US" w:eastAsia="zh-CN"/>
              </w:rPr>
            </w:pPr>
            <w:r>
              <w:rPr>
                <w:rFonts w:hint="eastAsia" w:ascii="仿宋_GB2312" w:hAnsi="宋体" w:cs="宋体"/>
                <w:color w:val="000000"/>
                <w:kern w:val="0"/>
                <w:sz w:val="21"/>
                <w:szCs w:val="21"/>
                <w:lang w:val="en-US" w:eastAsia="zh-CN"/>
              </w:rPr>
              <w:t>1.8万元</w:t>
            </w:r>
          </w:p>
        </w:tc>
        <w:tc>
          <w:tcPr>
            <w:tcW w:w="955" w:type="dxa"/>
            <w:tcBorders>
              <w:top w:val="single" w:color="000000" w:sz="4" w:space="0"/>
              <w:left w:val="single" w:color="000000" w:sz="4" w:space="0"/>
              <w:bottom w:val="single" w:color="000000" w:sz="4" w:space="0"/>
              <w:right w:val="single" w:color="000000" w:sz="4" w:space="0"/>
            </w:tcBorders>
            <w:vAlign w:val="center"/>
          </w:tcPr>
          <w:p w14:paraId="0FB5F81F">
            <w:pPr>
              <w:widowControl/>
              <w:spacing w:line="460" w:lineRule="exact"/>
              <w:jc w:val="both"/>
              <w:rPr>
                <w:rFonts w:hint="eastAsia" w:ascii="仿宋_GB2312" w:hAnsi="宋体" w:cs="宋体"/>
                <w:color w:val="000000"/>
                <w:kern w:val="0"/>
                <w:sz w:val="21"/>
                <w:szCs w:val="21"/>
              </w:rPr>
            </w:pPr>
          </w:p>
        </w:tc>
        <w:tc>
          <w:tcPr>
            <w:tcW w:w="1550" w:type="dxa"/>
            <w:tcBorders>
              <w:top w:val="single" w:color="000000" w:sz="4" w:space="0"/>
              <w:left w:val="single" w:color="000000" w:sz="4" w:space="0"/>
              <w:bottom w:val="single" w:color="000000" w:sz="4" w:space="0"/>
              <w:right w:val="single" w:color="000000" w:sz="4" w:space="0"/>
            </w:tcBorders>
            <w:vAlign w:val="center"/>
          </w:tcPr>
          <w:p w14:paraId="055E2977">
            <w:pPr>
              <w:widowControl/>
              <w:spacing w:line="460" w:lineRule="exact"/>
              <w:jc w:val="both"/>
              <w:rPr>
                <w:rFonts w:hint="eastAsia" w:ascii="仿宋_GB2312" w:hAnsi="宋体" w:cs="宋体"/>
                <w:color w:val="000000"/>
                <w:kern w:val="0"/>
                <w:sz w:val="21"/>
                <w:szCs w:val="21"/>
              </w:rPr>
            </w:pPr>
            <w:r>
              <w:rPr>
                <w:rFonts w:hint="eastAsia" w:ascii="仿宋_GB2312" w:hAnsi="宋体" w:cs="宋体"/>
                <w:color w:val="000000"/>
                <w:kern w:val="0"/>
                <w:sz w:val="21"/>
                <w:szCs w:val="21"/>
              </w:rPr>
              <w:t>镇人民政府</w:t>
            </w:r>
          </w:p>
        </w:tc>
      </w:tr>
      <w:tr w14:paraId="4CEDEBA1">
        <w:tblPrEx>
          <w:tblCellMar>
            <w:top w:w="15" w:type="dxa"/>
            <w:left w:w="108" w:type="dxa"/>
            <w:bottom w:w="15" w:type="dxa"/>
            <w:right w:w="108" w:type="dxa"/>
          </w:tblCellMar>
        </w:tblPrEx>
        <w:trPr>
          <w:trHeight w:val="465" w:hRule="atLeast"/>
        </w:trPr>
        <w:tc>
          <w:tcPr>
            <w:tcW w:w="457" w:type="dxa"/>
            <w:vMerge w:val="continue"/>
            <w:tcBorders>
              <w:top w:val="single" w:color="000000" w:sz="4" w:space="0"/>
              <w:left w:val="single" w:color="000000" w:sz="4" w:space="0"/>
              <w:bottom w:val="single" w:color="000000" w:sz="4" w:space="0"/>
              <w:right w:val="single" w:color="000000" w:sz="4" w:space="0"/>
            </w:tcBorders>
            <w:vAlign w:val="center"/>
          </w:tcPr>
          <w:p w14:paraId="06058993">
            <w:pPr>
              <w:widowControl/>
              <w:spacing w:line="460" w:lineRule="exact"/>
              <w:jc w:val="both"/>
              <w:rPr>
                <w:rFonts w:hint="eastAsia" w:ascii="仿宋_GB2312" w:hAnsi="宋体" w:cs="宋体"/>
                <w:color w:val="000000"/>
                <w:kern w:val="0"/>
                <w:sz w:val="21"/>
                <w:szCs w:val="21"/>
              </w:rPr>
            </w:pPr>
          </w:p>
        </w:tc>
        <w:tc>
          <w:tcPr>
            <w:tcW w:w="4400" w:type="dxa"/>
            <w:tcBorders>
              <w:top w:val="single" w:color="000000" w:sz="4" w:space="0"/>
              <w:left w:val="single" w:color="000000" w:sz="4" w:space="0"/>
              <w:bottom w:val="single" w:color="000000" w:sz="4" w:space="0"/>
              <w:right w:val="single" w:color="000000" w:sz="4" w:space="0"/>
            </w:tcBorders>
            <w:vAlign w:val="center"/>
          </w:tcPr>
          <w:p w14:paraId="786F10A8">
            <w:pPr>
              <w:ind w:left="209" w:leftChars="100" w:firstLine="209" w:firstLineChars="100"/>
              <w:rPr>
                <w:rFonts w:hint="eastAsia" w:ascii="仿宋_GB2312" w:hAnsi="宋体" w:cs="宋体"/>
                <w:color w:val="000000"/>
                <w:kern w:val="0"/>
                <w:sz w:val="21"/>
                <w:szCs w:val="21"/>
              </w:rPr>
            </w:pPr>
            <w:r>
              <w:rPr>
                <w:rFonts w:hint="eastAsia"/>
                <w:sz w:val="21"/>
                <w:szCs w:val="21"/>
              </w:rPr>
              <w:t>（</w:t>
            </w:r>
            <w:r>
              <w:rPr>
                <w:rFonts w:hint="eastAsia"/>
                <w:sz w:val="21"/>
                <w:szCs w:val="21"/>
                <w:lang w:val="en-US" w:eastAsia="zh-CN"/>
              </w:rPr>
              <w:t>7</w:t>
            </w:r>
            <w:r>
              <w:rPr>
                <w:rFonts w:hint="eastAsia"/>
                <w:sz w:val="21"/>
                <w:szCs w:val="21"/>
              </w:rPr>
              <w:t>）建设</w:t>
            </w:r>
            <w:r>
              <w:rPr>
                <w:rFonts w:hint="eastAsia"/>
                <w:sz w:val="21"/>
                <w:szCs w:val="21"/>
                <w:lang w:eastAsia="zh-CN"/>
              </w:rPr>
              <w:t>赵岩荣</w:t>
            </w:r>
            <w:r>
              <w:rPr>
                <w:rFonts w:hint="eastAsia"/>
                <w:sz w:val="21"/>
                <w:szCs w:val="21"/>
              </w:rPr>
              <w:t>家到</w:t>
            </w:r>
            <w:r>
              <w:rPr>
                <w:rFonts w:hint="eastAsia"/>
                <w:sz w:val="21"/>
                <w:szCs w:val="21"/>
                <w:lang w:eastAsia="zh-CN"/>
              </w:rPr>
              <w:t>赵尼祥家</w:t>
            </w:r>
            <w:r>
              <w:rPr>
                <w:rFonts w:hint="eastAsia"/>
                <w:sz w:val="21"/>
                <w:szCs w:val="21"/>
              </w:rPr>
              <w:t>入户路一条，长</w:t>
            </w:r>
            <w:r>
              <w:rPr>
                <w:rFonts w:hint="eastAsia"/>
                <w:sz w:val="21"/>
                <w:szCs w:val="21"/>
                <w:lang w:val="en-US" w:eastAsia="zh-CN"/>
              </w:rPr>
              <w:t>7</w:t>
            </w:r>
            <w:r>
              <w:rPr>
                <w:rFonts w:hint="eastAsia"/>
                <w:sz w:val="21"/>
                <w:szCs w:val="21"/>
              </w:rPr>
              <w:t>0m，宽度1m，厚度15cm，面积</w:t>
            </w:r>
            <w:r>
              <w:rPr>
                <w:rFonts w:hint="eastAsia"/>
                <w:sz w:val="21"/>
                <w:szCs w:val="21"/>
                <w:lang w:val="en-US" w:eastAsia="zh-CN"/>
              </w:rPr>
              <w:t>7</w:t>
            </w:r>
            <w:r>
              <w:rPr>
                <w:rFonts w:hint="eastAsia"/>
                <w:sz w:val="21"/>
                <w:szCs w:val="21"/>
              </w:rPr>
              <w:t>0平方米，投资单价200元/平方米，概算投资</w:t>
            </w:r>
            <w:r>
              <w:rPr>
                <w:rFonts w:hint="eastAsia"/>
                <w:sz w:val="21"/>
                <w:szCs w:val="21"/>
                <w:lang w:val="en-US" w:eastAsia="zh-CN"/>
              </w:rPr>
              <w:t>1.4万</w:t>
            </w:r>
            <w:r>
              <w:rPr>
                <w:rFonts w:hint="eastAsia"/>
                <w:sz w:val="21"/>
                <w:szCs w:val="21"/>
              </w:rPr>
              <w:t>元。</w:t>
            </w:r>
          </w:p>
        </w:tc>
        <w:tc>
          <w:tcPr>
            <w:tcW w:w="2010" w:type="dxa"/>
            <w:gridSpan w:val="2"/>
            <w:tcBorders>
              <w:top w:val="single" w:color="000000" w:sz="4" w:space="0"/>
              <w:left w:val="single" w:color="000000" w:sz="4" w:space="0"/>
              <w:bottom w:val="single" w:color="000000" w:sz="4" w:space="0"/>
              <w:right w:val="single" w:color="000000" w:sz="4" w:space="0"/>
            </w:tcBorders>
            <w:vAlign w:val="center"/>
          </w:tcPr>
          <w:p w14:paraId="05D14029">
            <w:pPr>
              <w:widowControl/>
              <w:spacing w:line="460" w:lineRule="exact"/>
              <w:jc w:val="both"/>
              <w:rPr>
                <w:rFonts w:hint="default" w:ascii="仿宋_GB2312" w:hAnsi="宋体" w:cs="宋体" w:eastAsiaTheme="minorEastAsia"/>
                <w:color w:val="000000"/>
                <w:kern w:val="0"/>
                <w:sz w:val="21"/>
                <w:szCs w:val="21"/>
                <w:lang w:val="en-US" w:eastAsia="zh-CN"/>
              </w:rPr>
            </w:pPr>
            <w:r>
              <w:rPr>
                <w:rFonts w:hint="eastAsia" w:ascii="仿宋_GB2312" w:hAnsi="宋体" w:cs="宋体"/>
                <w:color w:val="000000"/>
                <w:kern w:val="0"/>
                <w:sz w:val="21"/>
                <w:szCs w:val="21"/>
                <w:lang w:val="en-US" w:eastAsia="zh-CN"/>
              </w:rPr>
              <w:t>1.4万元</w:t>
            </w:r>
          </w:p>
        </w:tc>
        <w:tc>
          <w:tcPr>
            <w:tcW w:w="955" w:type="dxa"/>
            <w:tcBorders>
              <w:top w:val="single" w:color="000000" w:sz="4" w:space="0"/>
              <w:left w:val="single" w:color="000000" w:sz="4" w:space="0"/>
              <w:bottom w:val="single" w:color="000000" w:sz="4" w:space="0"/>
              <w:right w:val="single" w:color="000000" w:sz="4" w:space="0"/>
            </w:tcBorders>
            <w:vAlign w:val="center"/>
          </w:tcPr>
          <w:p w14:paraId="49961519">
            <w:pPr>
              <w:widowControl/>
              <w:spacing w:line="460" w:lineRule="exact"/>
              <w:jc w:val="both"/>
              <w:rPr>
                <w:rFonts w:hint="eastAsia" w:ascii="仿宋_GB2312" w:hAnsi="宋体" w:cs="宋体"/>
                <w:color w:val="000000"/>
                <w:kern w:val="0"/>
                <w:sz w:val="21"/>
                <w:szCs w:val="21"/>
              </w:rPr>
            </w:pPr>
          </w:p>
        </w:tc>
        <w:tc>
          <w:tcPr>
            <w:tcW w:w="1550" w:type="dxa"/>
            <w:tcBorders>
              <w:top w:val="single" w:color="000000" w:sz="4" w:space="0"/>
              <w:left w:val="single" w:color="000000" w:sz="4" w:space="0"/>
              <w:bottom w:val="single" w:color="000000" w:sz="4" w:space="0"/>
              <w:right w:val="single" w:color="000000" w:sz="4" w:space="0"/>
            </w:tcBorders>
            <w:vAlign w:val="center"/>
          </w:tcPr>
          <w:p w14:paraId="10E57DF3">
            <w:pPr>
              <w:widowControl/>
              <w:spacing w:line="460" w:lineRule="exact"/>
              <w:jc w:val="both"/>
              <w:rPr>
                <w:rFonts w:hint="eastAsia" w:ascii="仿宋_GB2312" w:hAnsi="宋体" w:cs="宋体"/>
                <w:color w:val="000000"/>
                <w:kern w:val="0"/>
                <w:sz w:val="21"/>
                <w:szCs w:val="21"/>
              </w:rPr>
            </w:pPr>
            <w:r>
              <w:rPr>
                <w:rFonts w:hint="eastAsia" w:ascii="仿宋_GB2312" w:hAnsi="宋体" w:cs="宋体"/>
                <w:color w:val="000000"/>
                <w:kern w:val="0"/>
                <w:sz w:val="21"/>
                <w:szCs w:val="21"/>
              </w:rPr>
              <w:t>镇人民政府</w:t>
            </w:r>
          </w:p>
        </w:tc>
      </w:tr>
      <w:tr w14:paraId="48AA8943">
        <w:tblPrEx>
          <w:tblCellMar>
            <w:top w:w="15" w:type="dxa"/>
            <w:left w:w="108" w:type="dxa"/>
            <w:bottom w:w="15" w:type="dxa"/>
            <w:right w:w="108" w:type="dxa"/>
          </w:tblCellMar>
        </w:tblPrEx>
        <w:trPr>
          <w:trHeight w:val="465" w:hRule="atLeast"/>
        </w:trPr>
        <w:tc>
          <w:tcPr>
            <w:tcW w:w="457" w:type="dxa"/>
            <w:vMerge w:val="continue"/>
            <w:tcBorders>
              <w:top w:val="single" w:color="000000" w:sz="4" w:space="0"/>
              <w:left w:val="single" w:color="000000" w:sz="4" w:space="0"/>
              <w:bottom w:val="single" w:color="000000" w:sz="4" w:space="0"/>
              <w:right w:val="single" w:color="000000" w:sz="4" w:space="0"/>
            </w:tcBorders>
            <w:vAlign w:val="center"/>
          </w:tcPr>
          <w:p w14:paraId="05909673">
            <w:pPr>
              <w:widowControl/>
              <w:spacing w:line="460" w:lineRule="exact"/>
              <w:jc w:val="both"/>
              <w:rPr>
                <w:rFonts w:hint="eastAsia" w:ascii="仿宋_GB2312" w:hAnsi="宋体" w:cs="宋体"/>
                <w:color w:val="000000"/>
                <w:kern w:val="0"/>
                <w:sz w:val="21"/>
                <w:szCs w:val="21"/>
              </w:rPr>
            </w:pPr>
          </w:p>
        </w:tc>
        <w:tc>
          <w:tcPr>
            <w:tcW w:w="4400" w:type="dxa"/>
            <w:tcBorders>
              <w:top w:val="single" w:color="000000" w:sz="4" w:space="0"/>
              <w:left w:val="single" w:color="000000" w:sz="4" w:space="0"/>
              <w:bottom w:val="single" w:color="auto" w:sz="4" w:space="0"/>
              <w:right w:val="single" w:color="000000" w:sz="4" w:space="0"/>
            </w:tcBorders>
            <w:vAlign w:val="center"/>
          </w:tcPr>
          <w:p w14:paraId="0B0AC936">
            <w:pPr>
              <w:ind w:firstLine="418" w:firstLineChars="200"/>
              <w:rPr>
                <w:rFonts w:hint="eastAsia" w:ascii="仿宋_GB2312" w:hAnsi="宋体" w:cs="宋体"/>
                <w:color w:val="000000"/>
                <w:kern w:val="0"/>
                <w:sz w:val="21"/>
                <w:szCs w:val="21"/>
              </w:rPr>
            </w:pPr>
            <w:r>
              <w:rPr>
                <w:rFonts w:hint="eastAsia"/>
                <w:sz w:val="21"/>
                <w:szCs w:val="21"/>
              </w:rPr>
              <w:t>（</w:t>
            </w:r>
            <w:r>
              <w:rPr>
                <w:rFonts w:hint="eastAsia"/>
                <w:sz w:val="21"/>
                <w:szCs w:val="21"/>
                <w:lang w:val="en-US" w:eastAsia="zh-CN"/>
              </w:rPr>
              <w:t>8</w:t>
            </w:r>
            <w:r>
              <w:rPr>
                <w:rFonts w:hint="eastAsia"/>
                <w:sz w:val="21"/>
                <w:szCs w:val="21"/>
              </w:rPr>
              <w:t>）建设</w:t>
            </w:r>
            <w:r>
              <w:rPr>
                <w:rFonts w:hint="eastAsia"/>
                <w:sz w:val="21"/>
                <w:szCs w:val="21"/>
                <w:lang w:eastAsia="zh-CN"/>
              </w:rPr>
              <w:t>尹荣搞</w:t>
            </w:r>
            <w:r>
              <w:rPr>
                <w:rFonts w:hint="eastAsia"/>
                <w:sz w:val="21"/>
                <w:szCs w:val="21"/>
              </w:rPr>
              <w:t>到</w:t>
            </w:r>
            <w:r>
              <w:rPr>
                <w:rFonts w:hint="eastAsia"/>
                <w:sz w:val="21"/>
                <w:szCs w:val="21"/>
                <w:lang w:eastAsia="zh-CN"/>
              </w:rPr>
              <w:t>赵赛那家</w:t>
            </w:r>
            <w:r>
              <w:rPr>
                <w:rFonts w:hint="eastAsia"/>
                <w:sz w:val="21"/>
                <w:szCs w:val="21"/>
              </w:rPr>
              <w:t>入户路一条，长</w:t>
            </w:r>
            <w:r>
              <w:rPr>
                <w:rFonts w:hint="eastAsia"/>
                <w:sz w:val="21"/>
                <w:szCs w:val="21"/>
                <w:lang w:val="en-US" w:eastAsia="zh-CN"/>
              </w:rPr>
              <w:t>79</w:t>
            </w:r>
            <w:r>
              <w:rPr>
                <w:rFonts w:hint="eastAsia"/>
                <w:sz w:val="21"/>
                <w:szCs w:val="21"/>
              </w:rPr>
              <w:t>0m，宽度1m，厚度15cm，面积</w:t>
            </w:r>
            <w:r>
              <w:rPr>
                <w:rFonts w:hint="eastAsia"/>
                <w:sz w:val="21"/>
                <w:szCs w:val="21"/>
                <w:lang w:val="en-US" w:eastAsia="zh-CN"/>
              </w:rPr>
              <w:t>9</w:t>
            </w:r>
            <w:r>
              <w:rPr>
                <w:rFonts w:hint="eastAsia"/>
                <w:sz w:val="21"/>
                <w:szCs w:val="21"/>
              </w:rPr>
              <w:t>0平方米，投资单价200元/平方米，概算投资</w:t>
            </w:r>
            <w:r>
              <w:rPr>
                <w:rFonts w:hint="eastAsia"/>
                <w:sz w:val="21"/>
                <w:szCs w:val="21"/>
                <w:lang w:val="en-US" w:eastAsia="zh-CN"/>
              </w:rPr>
              <w:t>1.8万</w:t>
            </w:r>
            <w:r>
              <w:rPr>
                <w:rFonts w:hint="eastAsia"/>
                <w:sz w:val="21"/>
                <w:szCs w:val="21"/>
              </w:rPr>
              <w:t>元。</w:t>
            </w:r>
          </w:p>
        </w:tc>
        <w:tc>
          <w:tcPr>
            <w:tcW w:w="2010" w:type="dxa"/>
            <w:gridSpan w:val="2"/>
            <w:tcBorders>
              <w:top w:val="single" w:color="000000" w:sz="4" w:space="0"/>
              <w:left w:val="single" w:color="000000" w:sz="4" w:space="0"/>
              <w:bottom w:val="single" w:color="auto" w:sz="4" w:space="0"/>
              <w:right w:val="single" w:color="000000" w:sz="4" w:space="0"/>
            </w:tcBorders>
            <w:vAlign w:val="center"/>
          </w:tcPr>
          <w:p w14:paraId="4A86BA4C">
            <w:pPr>
              <w:widowControl/>
              <w:spacing w:line="460" w:lineRule="exact"/>
              <w:jc w:val="both"/>
              <w:rPr>
                <w:rFonts w:hint="default" w:ascii="仿宋_GB2312" w:hAnsi="宋体" w:cs="宋体" w:eastAsiaTheme="minorEastAsia"/>
                <w:color w:val="000000"/>
                <w:kern w:val="0"/>
                <w:sz w:val="21"/>
                <w:szCs w:val="21"/>
                <w:lang w:val="en-US" w:eastAsia="zh-CN"/>
              </w:rPr>
            </w:pPr>
            <w:r>
              <w:rPr>
                <w:rFonts w:hint="eastAsia" w:ascii="仿宋_GB2312" w:hAnsi="宋体" w:cs="宋体"/>
                <w:color w:val="000000"/>
                <w:kern w:val="0"/>
                <w:sz w:val="21"/>
                <w:szCs w:val="21"/>
                <w:lang w:val="en-US" w:eastAsia="zh-CN"/>
              </w:rPr>
              <w:t>1.8万元</w:t>
            </w:r>
          </w:p>
        </w:tc>
        <w:tc>
          <w:tcPr>
            <w:tcW w:w="955" w:type="dxa"/>
            <w:tcBorders>
              <w:top w:val="single" w:color="000000" w:sz="4" w:space="0"/>
              <w:left w:val="single" w:color="000000" w:sz="4" w:space="0"/>
              <w:bottom w:val="single" w:color="auto" w:sz="4" w:space="0"/>
              <w:right w:val="single" w:color="000000" w:sz="4" w:space="0"/>
            </w:tcBorders>
            <w:vAlign w:val="center"/>
          </w:tcPr>
          <w:p w14:paraId="79813DCA">
            <w:pPr>
              <w:widowControl/>
              <w:spacing w:line="460" w:lineRule="exact"/>
              <w:jc w:val="both"/>
              <w:rPr>
                <w:rFonts w:hint="eastAsia" w:ascii="仿宋_GB2312" w:hAnsi="宋体" w:cs="宋体"/>
                <w:color w:val="000000"/>
                <w:kern w:val="0"/>
                <w:sz w:val="21"/>
                <w:szCs w:val="21"/>
              </w:rPr>
            </w:pPr>
          </w:p>
        </w:tc>
        <w:tc>
          <w:tcPr>
            <w:tcW w:w="1550" w:type="dxa"/>
            <w:tcBorders>
              <w:top w:val="single" w:color="000000" w:sz="4" w:space="0"/>
              <w:left w:val="single" w:color="000000" w:sz="4" w:space="0"/>
              <w:bottom w:val="single" w:color="auto" w:sz="4" w:space="0"/>
              <w:right w:val="single" w:color="000000" w:sz="4" w:space="0"/>
            </w:tcBorders>
            <w:vAlign w:val="center"/>
          </w:tcPr>
          <w:p w14:paraId="6AF71854">
            <w:pPr>
              <w:widowControl/>
              <w:spacing w:line="460" w:lineRule="exact"/>
              <w:jc w:val="both"/>
              <w:rPr>
                <w:rFonts w:hint="eastAsia" w:ascii="仿宋_GB2312" w:hAnsi="宋体" w:cs="宋体"/>
                <w:color w:val="000000"/>
                <w:kern w:val="0"/>
                <w:sz w:val="21"/>
                <w:szCs w:val="21"/>
              </w:rPr>
            </w:pPr>
            <w:r>
              <w:rPr>
                <w:rFonts w:hint="eastAsia" w:ascii="仿宋_GB2312" w:hAnsi="宋体" w:cs="宋体"/>
                <w:color w:val="000000"/>
                <w:kern w:val="0"/>
                <w:sz w:val="21"/>
                <w:szCs w:val="21"/>
              </w:rPr>
              <w:t>镇人民政府</w:t>
            </w:r>
          </w:p>
        </w:tc>
      </w:tr>
      <w:tr w14:paraId="145507EB">
        <w:tblPrEx>
          <w:tblCellMar>
            <w:top w:w="15" w:type="dxa"/>
            <w:left w:w="108" w:type="dxa"/>
            <w:bottom w:w="15" w:type="dxa"/>
            <w:right w:w="108" w:type="dxa"/>
          </w:tblCellMar>
        </w:tblPrEx>
        <w:trPr>
          <w:trHeight w:val="1690" w:hRule="atLeast"/>
        </w:trPr>
        <w:tc>
          <w:tcPr>
            <w:tcW w:w="457" w:type="dxa"/>
            <w:tcBorders>
              <w:top w:val="single" w:color="000000" w:sz="4" w:space="0"/>
              <w:left w:val="single" w:color="000000" w:sz="4" w:space="0"/>
              <w:bottom w:val="single" w:color="000000" w:sz="4" w:space="0"/>
              <w:right w:val="single" w:color="000000" w:sz="4" w:space="0"/>
            </w:tcBorders>
            <w:vAlign w:val="center"/>
          </w:tcPr>
          <w:p w14:paraId="428C96EC">
            <w:pPr>
              <w:widowControl/>
              <w:spacing w:line="460" w:lineRule="exact"/>
              <w:jc w:val="center"/>
              <w:rPr>
                <w:rFonts w:hint="eastAsia" w:ascii="黑体" w:hAnsi="宋体" w:eastAsia="黑体" w:cs="宋体"/>
                <w:color w:val="000000"/>
                <w:kern w:val="0"/>
                <w:sz w:val="21"/>
                <w:szCs w:val="21"/>
              </w:rPr>
            </w:pPr>
            <w:r>
              <w:rPr>
                <w:rFonts w:hint="eastAsia" w:ascii="黑体" w:hAnsi="宋体" w:eastAsia="黑体" w:cs="宋体"/>
                <w:color w:val="000000"/>
                <w:kern w:val="0"/>
                <w:sz w:val="21"/>
                <w:szCs w:val="21"/>
              </w:rPr>
              <w:t>供水工程</w:t>
            </w:r>
          </w:p>
        </w:tc>
        <w:tc>
          <w:tcPr>
            <w:tcW w:w="4400" w:type="dxa"/>
            <w:tcBorders>
              <w:top w:val="single" w:color="000000" w:sz="4" w:space="0"/>
              <w:left w:val="single" w:color="000000" w:sz="4" w:space="0"/>
              <w:bottom w:val="single" w:color="auto" w:sz="4" w:space="0"/>
              <w:right w:val="single" w:color="000000" w:sz="4" w:space="0"/>
            </w:tcBorders>
            <w:vAlign w:val="center"/>
          </w:tcPr>
          <w:p w14:paraId="002261AF">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更换从人饮水入户管网皮管改钢管全长：2.496千米。</w:t>
            </w:r>
          </w:p>
        </w:tc>
        <w:tc>
          <w:tcPr>
            <w:tcW w:w="2010" w:type="dxa"/>
            <w:gridSpan w:val="2"/>
            <w:tcBorders>
              <w:top w:val="single" w:color="000000" w:sz="4" w:space="0"/>
              <w:left w:val="single" w:color="000000" w:sz="4" w:space="0"/>
              <w:bottom w:val="single" w:color="000000" w:sz="4" w:space="0"/>
              <w:right w:val="single" w:color="000000" w:sz="4" w:space="0"/>
            </w:tcBorders>
            <w:vAlign w:val="center"/>
          </w:tcPr>
          <w:p w14:paraId="72F778D1">
            <w:pPr>
              <w:widowControl/>
              <w:spacing w:line="520" w:lineRule="exact"/>
              <w:jc w:val="center"/>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20万元</w:t>
            </w:r>
          </w:p>
        </w:tc>
        <w:tc>
          <w:tcPr>
            <w:tcW w:w="955" w:type="dxa"/>
            <w:tcBorders>
              <w:top w:val="single" w:color="000000" w:sz="4" w:space="0"/>
              <w:left w:val="single" w:color="000000" w:sz="4" w:space="0"/>
              <w:bottom w:val="single" w:color="000000" w:sz="4" w:space="0"/>
              <w:right w:val="single" w:color="000000" w:sz="4" w:space="0"/>
            </w:tcBorders>
            <w:vAlign w:val="center"/>
          </w:tcPr>
          <w:p w14:paraId="6D8D0E67">
            <w:pPr>
              <w:widowControl/>
              <w:spacing w:line="520" w:lineRule="exact"/>
              <w:jc w:val="center"/>
              <w:rPr>
                <w:rFonts w:hint="eastAsia" w:ascii="仿宋_GB2312" w:hAnsi="宋体" w:cs="宋体"/>
                <w:color w:val="000000"/>
                <w:kern w:val="0"/>
                <w:sz w:val="21"/>
                <w:szCs w:val="21"/>
              </w:rPr>
            </w:pPr>
          </w:p>
        </w:tc>
        <w:tc>
          <w:tcPr>
            <w:tcW w:w="1550" w:type="dxa"/>
            <w:tcBorders>
              <w:top w:val="single" w:color="000000" w:sz="4" w:space="0"/>
              <w:left w:val="single" w:color="000000" w:sz="4" w:space="0"/>
              <w:bottom w:val="single" w:color="000000" w:sz="4" w:space="0"/>
              <w:right w:val="single" w:color="000000" w:sz="4" w:space="0"/>
            </w:tcBorders>
            <w:vAlign w:val="center"/>
          </w:tcPr>
          <w:p w14:paraId="4CC8D3C2">
            <w:pPr>
              <w:widowControl/>
              <w:spacing w:line="52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县人民政府</w:t>
            </w:r>
          </w:p>
        </w:tc>
      </w:tr>
      <w:tr w14:paraId="0F9095A7">
        <w:tblPrEx>
          <w:tblCellMar>
            <w:top w:w="15" w:type="dxa"/>
            <w:left w:w="108" w:type="dxa"/>
            <w:bottom w:w="15" w:type="dxa"/>
            <w:right w:w="108" w:type="dxa"/>
          </w:tblCellMar>
        </w:tblPrEx>
        <w:trPr>
          <w:trHeight w:val="645" w:hRule="atLeast"/>
        </w:trPr>
        <w:tc>
          <w:tcPr>
            <w:tcW w:w="457" w:type="dxa"/>
            <w:tcBorders>
              <w:top w:val="single" w:color="000000" w:sz="4" w:space="0"/>
              <w:left w:val="single" w:color="000000" w:sz="4" w:space="0"/>
              <w:bottom w:val="single" w:color="000000" w:sz="4" w:space="0"/>
              <w:right w:val="single" w:color="auto" w:sz="4" w:space="0"/>
            </w:tcBorders>
            <w:vAlign w:val="center"/>
          </w:tcPr>
          <w:p w14:paraId="4858D653">
            <w:pPr>
              <w:widowControl/>
              <w:spacing w:line="460" w:lineRule="exact"/>
              <w:jc w:val="center"/>
              <w:rPr>
                <w:rFonts w:hint="eastAsia" w:ascii="黑体" w:hAnsi="宋体" w:eastAsia="黑体" w:cs="宋体"/>
                <w:color w:val="000000"/>
                <w:kern w:val="0"/>
                <w:sz w:val="21"/>
                <w:szCs w:val="21"/>
              </w:rPr>
            </w:pPr>
            <w:r>
              <w:rPr>
                <w:rFonts w:hint="eastAsia" w:ascii="黑体" w:hAnsi="宋体" w:eastAsia="黑体" w:cs="宋体"/>
                <w:color w:val="000000"/>
                <w:kern w:val="0"/>
                <w:sz w:val="21"/>
                <w:szCs w:val="21"/>
              </w:rPr>
              <w:t>排</w:t>
            </w:r>
            <w:r>
              <w:rPr>
                <w:rFonts w:hint="eastAsia" w:ascii="黑体" w:hAnsi="宋体" w:eastAsia="黑体" w:cs="宋体"/>
                <w:color w:val="000000"/>
                <w:kern w:val="0"/>
                <w:sz w:val="21"/>
                <w:szCs w:val="21"/>
                <w:lang w:eastAsia="zh-CN"/>
              </w:rPr>
              <w:t>污</w:t>
            </w:r>
            <w:r>
              <w:rPr>
                <w:rFonts w:hint="eastAsia" w:ascii="黑体" w:hAnsi="宋体" w:eastAsia="黑体" w:cs="宋体"/>
                <w:color w:val="000000"/>
                <w:kern w:val="0"/>
                <w:sz w:val="21"/>
                <w:szCs w:val="21"/>
              </w:rPr>
              <w:t>工程</w:t>
            </w:r>
          </w:p>
        </w:tc>
        <w:tc>
          <w:tcPr>
            <w:tcW w:w="4400" w:type="dxa"/>
            <w:tcBorders>
              <w:top w:val="single" w:color="auto" w:sz="4" w:space="0"/>
              <w:left w:val="single" w:color="auto" w:sz="4" w:space="0"/>
              <w:bottom w:val="single" w:color="000000" w:sz="4" w:space="0"/>
              <w:right w:val="single" w:color="auto" w:sz="4" w:space="0"/>
            </w:tcBorders>
            <w:vAlign w:val="center"/>
          </w:tcPr>
          <w:p w14:paraId="581E89D6">
            <w:pPr>
              <w:rPr>
                <w:rFonts w:hint="eastAsia"/>
                <w:sz w:val="21"/>
                <w:szCs w:val="21"/>
              </w:rPr>
            </w:pPr>
            <w:r>
              <w:rPr>
                <w:rFonts w:hint="eastAsia"/>
                <w:sz w:val="21"/>
                <w:szCs w:val="21"/>
              </w:rPr>
              <w:t>1号沟渠</w:t>
            </w:r>
            <w:r>
              <w:rPr>
                <w:rFonts w:hint="eastAsia"/>
                <w:sz w:val="21"/>
                <w:szCs w:val="21"/>
                <w:lang w:eastAsia="zh-CN"/>
              </w:rPr>
              <w:t>李艾块家</w:t>
            </w:r>
            <w:r>
              <w:rPr>
                <w:rFonts w:hint="eastAsia"/>
                <w:sz w:val="21"/>
                <w:szCs w:val="21"/>
                <w:lang w:val="en-US" w:eastAsia="zh-CN"/>
              </w:rPr>
              <w:t>--赵惹三--尹金强家</w:t>
            </w:r>
            <w:r>
              <w:rPr>
                <w:rFonts w:hint="eastAsia"/>
                <w:sz w:val="21"/>
                <w:szCs w:val="21"/>
              </w:rPr>
              <w:t>，全长</w:t>
            </w:r>
            <w:r>
              <w:rPr>
                <w:rFonts w:hint="eastAsia"/>
                <w:sz w:val="21"/>
                <w:szCs w:val="21"/>
                <w:lang w:val="en-US" w:eastAsia="zh-CN"/>
              </w:rPr>
              <w:t>420</w:t>
            </w:r>
            <w:r>
              <w:rPr>
                <w:rFonts w:hint="eastAsia"/>
                <w:sz w:val="21"/>
                <w:szCs w:val="21"/>
              </w:rPr>
              <w:t>m，设计标准管径25cm，每25米设置1个检查井，投资单价360元/m（含检查井），概算投资</w:t>
            </w:r>
            <w:r>
              <w:rPr>
                <w:rFonts w:hint="eastAsia"/>
                <w:sz w:val="21"/>
                <w:szCs w:val="21"/>
                <w:lang w:val="en-US" w:eastAsia="zh-CN"/>
              </w:rPr>
              <w:t>15.12</w:t>
            </w:r>
            <w:r>
              <w:rPr>
                <w:rFonts w:hint="eastAsia"/>
                <w:sz w:val="21"/>
                <w:szCs w:val="21"/>
              </w:rPr>
              <w:t>万元.</w:t>
            </w:r>
          </w:p>
          <w:p w14:paraId="21046D6F">
            <w:pPr>
              <w:rPr>
                <w:sz w:val="21"/>
                <w:szCs w:val="21"/>
              </w:rPr>
            </w:pPr>
            <w:r>
              <w:rPr>
                <w:rFonts w:hint="eastAsia"/>
                <w:sz w:val="21"/>
                <w:szCs w:val="21"/>
              </w:rPr>
              <w:t>2号沟渠</w:t>
            </w:r>
            <w:r>
              <w:rPr>
                <w:rFonts w:hint="eastAsia"/>
                <w:sz w:val="21"/>
                <w:szCs w:val="21"/>
                <w:lang w:eastAsia="zh-CN"/>
              </w:rPr>
              <w:t>赵安块家</w:t>
            </w:r>
            <w:r>
              <w:rPr>
                <w:rFonts w:hint="eastAsia"/>
                <w:sz w:val="21"/>
                <w:szCs w:val="21"/>
                <w:lang w:val="en-US" w:eastAsia="zh-CN"/>
              </w:rPr>
              <w:t>--尹荣搞家</w:t>
            </w:r>
            <w:r>
              <w:rPr>
                <w:rFonts w:hint="eastAsia"/>
                <w:sz w:val="21"/>
                <w:szCs w:val="21"/>
              </w:rPr>
              <w:t>，全长</w:t>
            </w:r>
            <w:r>
              <w:rPr>
                <w:rFonts w:hint="eastAsia"/>
                <w:sz w:val="21"/>
                <w:szCs w:val="21"/>
                <w:lang w:val="en-US" w:eastAsia="zh-CN"/>
              </w:rPr>
              <w:t>70</w:t>
            </w:r>
            <w:r>
              <w:rPr>
                <w:rFonts w:hint="eastAsia"/>
                <w:sz w:val="21"/>
                <w:szCs w:val="21"/>
              </w:rPr>
              <w:t>m，设计标准管径25cm，每25米设置1个检查井，投资单价360元/m（含检查井），概算投资</w:t>
            </w:r>
            <w:r>
              <w:rPr>
                <w:rFonts w:hint="eastAsia"/>
                <w:sz w:val="21"/>
                <w:szCs w:val="21"/>
                <w:lang w:val="en-US" w:eastAsia="zh-CN"/>
              </w:rPr>
              <w:t>2.52</w:t>
            </w:r>
            <w:r>
              <w:rPr>
                <w:rFonts w:hint="eastAsia"/>
                <w:sz w:val="21"/>
                <w:szCs w:val="21"/>
              </w:rPr>
              <w:t xml:space="preserve">万元。  </w:t>
            </w:r>
          </w:p>
          <w:p w14:paraId="7F19D5CA">
            <w:pPr>
              <w:rPr>
                <w:rFonts w:hint="eastAsia"/>
                <w:sz w:val="21"/>
                <w:szCs w:val="21"/>
              </w:rPr>
            </w:pPr>
            <w:r>
              <w:rPr>
                <w:rFonts w:hint="eastAsia"/>
                <w:sz w:val="21"/>
                <w:szCs w:val="21"/>
              </w:rPr>
              <w:t>3号沟渠</w:t>
            </w:r>
            <w:r>
              <w:rPr>
                <w:rFonts w:hint="eastAsia"/>
                <w:sz w:val="21"/>
                <w:szCs w:val="21"/>
                <w:lang w:eastAsia="zh-CN"/>
              </w:rPr>
              <w:t>赵改搞家</w:t>
            </w:r>
            <w:r>
              <w:rPr>
                <w:rFonts w:hint="eastAsia"/>
                <w:sz w:val="21"/>
                <w:szCs w:val="21"/>
                <w:lang w:val="en-US" w:eastAsia="zh-CN"/>
              </w:rPr>
              <w:t>--沟边</w:t>
            </w:r>
            <w:r>
              <w:rPr>
                <w:rFonts w:hint="eastAsia"/>
                <w:sz w:val="21"/>
                <w:szCs w:val="21"/>
              </w:rPr>
              <w:t>全长</w:t>
            </w:r>
            <w:r>
              <w:rPr>
                <w:rFonts w:hint="eastAsia"/>
                <w:sz w:val="21"/>
                <w:szCs w:val="21"/>
                <w:lang w:val="en-US" w:eastAsia="zh-CN"/>
              </w:rPr>
              <w:t>90</w:t>
            </w:r>
            <w:r>
              <w:rPr>
                <w:rFonts w:hint="eastAsia"/>
                <w:sz w:val="21"/>
                <w:szCs w:val="21"/>
              </w:rPr>
              <w:t>m，设计标准管径25cm，每25米设置1个检查井，投资单价360元/m（含检查井），概算投资</w:t>
            </w:r>
            <w:r>
              <w:rPr>
                <w:rFonts w:hint="eastAsia"/>
                <w:sz w:val="21"/>
                <w:szCs w:val="21"/>
                <w:lang w:val="en-US" w:eastAsia="zh-CN"/>
              </w:rPr>
              <w:t>3.24</w:t>
            </w:r>
            <w:r>
              <w:rPr>
                <w:rFonts w:hint="eastAsia"/>
                <w:sz w:val="21"/>
                <w:szCs w:val="21"/>
              </w:rPr>
              <w:t>万元。</w:t>
            </w:r>
          </w:p>
          <w:p w14:paraId="35FFDA3D">
            <w:pPr>
              <w:rPr>
                <w:rFonts w:hint="eastAsia"/>
                <w:sz w:val="21"/>
                <w:szCs w:val="21"/>
              </w:rPr>
            </w:pPr>
            <w:r>
              <w:rPr>
                <w:rFonts w:hint="eastAsia"/>
                <w:sz w:val="21"/>
                <w:szCs w:val="21"/>
                <w:lang w:val="en-US" w:eastAsia="zh-CN"/>
              </w:rPr>
              <w:t>4</w:t>
            </w:r>
            <w:r>
              <w:rPr>
                <w:rFonts w:hint="eastAsia"/>
                <w:sz w:val="21"/>
                <w:szCs w:val="21"/>
              </w:rPr>
              <w:t>号沟渠</w:t>
            </w:r>
            <w:r>
              <w:rPr>
                <w:rFonts w:hint="eastAsia"/>
                <w:sz w:val="21"/>
                <w:szCs w:val="21"/>
                <w:lang w:eastAsia="zh-CN"/>
              </w:rPr>
              <w:t>赵艾改家</w:t>
            </w:r>
            <w:r>
              <w:rPr>
                <w:rFonts w:hint="eastAsia"/>
                <w:sz w:val="21"/>
                <w:szCs w:val="21"/>
                <w:lang w:val="en-US" w:eastAsia="zh-CN"/>
              </w:rPr>
              <w:t>--尹尼倒</w:t>
            </w:r>
            <w:r>
              <w:rPr>
                <w:rFonts w:hint="eastAsia"/>
                <w:sz w:val="21"/>
                <w:szCs w:val="21"/>
                <w:lang w:eastAsia="zh-CN"/>
              </w:rPr>
              <w:t>家</w:t>
            </w:r>
            <w:r>
              <w:rPr>
                <w:rFonts w:hint="eastAsia"/>
                <w:sz w:val="21"/>
                <w:szCs w:val="21"/>
                <w:lang w:val="en-US" w:eastAsia="zh-CN"/>
              </w:rPr>
              <w:t>边</w:t>
            </w:r>
            <w:r>
              <w:rPr>
                <w:rFonts w:hint="eastAsia"/>
                <w:sz w:val="21"/>
                <w:szCs w:val="21"/>
              </w:rPr>
              <w:t>全长</w:t>
            </w:r>
            <w:r>
              <w:rPr>
                <w:rFonts w:hint="eastAsia"/>
                <w:sz w:val="21"/>
                <w:szCs w:val="21"/>
                <w:lang w:val="en-US" w:eastAsia="zh-CN"/>
              </w:rPr>
              <w:t>180</w:t>
            </w:r>
            <w:r>
              <w:rPr>
                <w:rFonts w:hint="eastAsia"/>
                <w:sz w:val="21"/>
                <w:szCs w:val="21"/>
              </w:rPr>
              <w:t>m，设计标准管径25cm，每25米设置1个检查井，投资单价360元/m（含检查井），</w:t>
            </w:r>
          </w:p>
          <w:p w14:paraId="071CC75D">
            <w:pPr>
              <w:rPr>
                <w:rFonts w:hint="eastAsia"/>
                <w:sz w:val="21"/>
                <w:szCs w:val="21"/>
                <w:lang w:val="en-US"/>
              </w:rPr>
            </w:pPr>
            <w:r>
              <w:rPr>
                <w:rFonts w:hint="eastAsia"/>
                <w:sz w:val="21"/>
                <w:szCs w:val="21"/>
                <w:lang w:val="en-US" w:eastAsia="zh-CN"/>
              </w:rPr>
              <w:t>5</w:t>
            </w:r>
            <w:r>
              <w:rPr>
                <w:rFonts w:hint="eastAsia"/>
                <w:sz w:val="21"/>
                <w:szCs w:val="21"/>
              </w:rPr>
              <w:t>号沟渠</w:t>
            </w:r>
            <w:r>
              <w:rPr>
                <w:rFonts w:hint="eastAsia"/>
                <w:sz w:val="21"/>
                <w:szCs w:val="21"/>
                <w:lang w:eastAsia="zh-CN"/>
              </w:rPr>
              <w:t>赵那倒家</w:t>
            </w:r>
            <w:r>
              <w:rPr>
                <w:rFonts w:hint="eastAsia"/>
                <w:sz w:val="21"/>
                <w:szCs w:val="21"/>
                <w:lang w:val="en-US" w:eastAsia="zh-CN"/>
              </w:rPr>
              <w:t>--球场边</w:t>
            </w:r>
            <w:r>
              <w:rPr>
                <w:rFonts w:hint="eastAsia"/>
                <w:sz w:val="21"/>
                <w:szCs w:val="21"/>
              </w:rPr>
              <w:t>全长</w:t>
            </w:r>
            <w:r>
              <w:rPr>
                <w:rFonts w:hint="eastAsia"/>
                <w:sz w:val="21"/>
                <w:szCs w:val="21"/>
                <w:lang w:val="en-US" w:eastAsia="zh-CN"/>
              </w:rPr>
              <w:t>50</w:t>
            </w:r>
            <w:r>
              <w:rPr>
                <w:rFonts w:hint="eastAsia"/>
                <w:sz w:val="21"/>
                <w:szCs w:val="21"/>
              </w:rPr>
              <w:t>m，设计标准管径25cm，每25米设置1个检查井，投资单价360元/m（含检查井），概算投资</w:t>
            </w:r>
            <w:r>
              <w:rPr>
                <w:rFonts w:hint="eastAsia"/>
                <w:sz w:val="21"/>
                <w:szCs w:val="21"/>
                <w:lang w:val="en-US" w:eastAsia="zh-CN"/>
              </w:rPr>
              <w:t>1.8</w:t>
            </w:r>
            <w:r>
              <w:rPr>
                <w:rFonts w:hint="eastAsia"/>
                <w:sz w:val="21"/>
                <w:szCs w:val="21"/>
              </w:rPr>
              <w:t>万元。</w:t>
            </w:r>
          </w:p>
        </w:tc>
        <w:tc>
          <w:tcPr>
            <w:tcW w:w="2010" w:type="dxa"/>
            <w:gridSpan w:val="2"/>
            <w:tcBorders>
              <w:top w:val="single" w:color="000000" w:sz="4" w:space="0"/>
              <w:left w:val="single" w:color="auto" w:sz="4" w:space="0"/>
              <w:bottom w:val="single" w:color="000000" w:sz="4" w:space="0"/>
              <w:right w:val="single" w:color="000000" w:sz="4" w:space="0"/>
            </w:tcBorders>
            <w:vAlign w:val="center"/>
          </w:tcPr>
          <w:p w14:paraId="6F60C0CA">
            <w:pPr>
              <w:widowControl/>
              <w:spacing w:line="460" w:lineRule="exact"/>
              <w:jc w:val="center"/>
              <w:rPr>
                <w:rFonts w:hint="default" w:ascii="仿宋_GB2312" w:hAnsi="宋体" w:cs="宋体" w:eastAsiaTheme="minorEastAsia"/>
                <w:color w:val="000000"/>
                <w:kern w:val="0"/>
                <w:sz w:val="21"/>
                <w:szCs w:val="21"/>
                <w:lang w:val="en-US" w:eastAsia="zh-CN"/>
              </w:rPr>
            </w:pPr>
            <w:r>
              <w:rPr>
                <w:rFonts w:hint="eastAsia" w:ascii="仿宋_GB2312" w:hAnsi="宋体" w:cs="宋体"/>
                <w:color w:val="000000"/>
                <w:kern w:val="0"/>
                <w:sz w:val="21"/>
                <w:szCs w:val="21"/>
                <w:lang w:val="en-US" w:eastAsia="zh-CN"/>
              </w:rPr>
              <w:t>29.16万元</w:t>
            </w:r>
          </w:p>
        </w:tc>
        <w:tc>
          <w:tcPr>
            <w:tcW w:w="955" w:type="dxa"/>
            <w:tcBorders>
              <w:top w:val="single" w:color="000000" w:sz="4" w:space="0"/>
              <w:left w:val="single" w:color="000000" w:sz="4" w:space="0"/>
              <w:bottom w:val="single" w:color="000000" w:sz="4" w:space="0"/>
              <w:right w:val="single" w:color="000000" w:sz="4" w:space="0"/>
            </w:tcBorders>
            <w:vAlign w:val="center"/>
          </w:tcPr>
          <w:p w14:paraId="4BFB2938">
            <w:pPr>
              <w:widowControl/>
              <w:spacing w:line="460" w:lineRule="exact"/>
              <w:jc w:val="center"/>
              <w:rPr>
                <w:rFonts w:hint="eastAsia" w:ascii="仿宋_GB2312" w:hAnsi="宋体" w:cs="宋体"/>
                <w:color w:val="000000"/>
                <w:kern w:val="0"/>
                <w:sz w:val="21"/>
                <w:szCs w:val="21"/>
              </w:rPr>
            </w:pPr>
          </w:p>
        </w:tc>
        <w:tc>
          <w:tcPr>
            <w:tcW w:w="1550" w:type="dxa"/>
            <w:tcBorders>
              <w:top w:val="single" w:color="000000" w:sz="4" w:space="0"/>
              <w:left w:val="single" w:color="000000" w:sz="4" w:space="0"/>
              <w:bottom w:val="single" w:color="000000" w:sz="4" w:space="0"/>
              <w:right w:val="single" w:color="000000" w:sz="4" w:space="0"/>
            </w:tcBorders>
            <w:vAlign w:val="center"/>
          </w:tcPr>
          <w:p w14:paraId="31C63E3F">
            <w:pPr>
              <w:widowControl/>
              <w:spacing w:line="46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镇人民政府</w:t>
            </w:r>
          </w:p>
        </w:tc>
      </w:tr>
      <w:tr w14:paraId="7BFB3EF6">
        <w:tblPrEx>
          <w:tblCellMar>
            <w:top w:w="15" w:type="dxa"/>
            <w:left w:w="108" w:type="dxa"/>
            <w:bottom w:w="15" w:type="dxa"/>
            <w:right w:w="108" w:type="dxa"/>
          </w:tblCellMar>
        </w:tblPrEx>
        <w:trPr>
          <w:trHeight w:val="970" w:hRule="atLeast"/>
        </w:trPr>
        <w:tc>
          <w:tcPr>
            <w:tcW w:w="457" w:type="dxa"/>
            <w:tcBorders>
              <w:top w:val="single" w:color="000000" w:sz="4" w:space="0"/>
              <w:left w:val="single" w:color="000000" w:sz="4" w:space="0"/>
              <w:bottom w:val="single" w:color="000000" w:sz="4" w:space="0"/>
              <w:right w:val="single" w:color="auto" w:sz="4" w:space="0"/>
            </w:tcBorders>
            <w:vAlign w:val="center"/>
          </w:tcPr>
          <w:p w14:paraId="44C5AC35">
            <w:pPr>
              <w:widowControl/>
              <w:spacing w:line="460" w:lineRule="exact"/>
              <w:jc w:val="left"/>
              <w:rPr>
                <w:rFonts w:hint="eastAsia" w:ascii="仿宋_GB2312" w:hAnsi="宋体" w:cs="宋体"/>
                <w:b w:val="0"/>
                <w:bCs w:val="0"/>
                <w:color w:val="000000"/>
                <w:kern w:val="0"/>
                <w:sz w:val="21"/>
                <w:szCs w:val="21"/>
              </w:rPr>
            </w:pPr>
            <w:r>
              <w:rPr>
                <w:rFonts w:hint="eastAsia"/>
                <w:b w:val="0"/>
                <w:bCs w:val="0"/>
                <w:sz w:val="21"/>
                <w:szCs w:val="21"/>
              </w:rPr>
              <w:t>公共空间</w:t>
            </w:r>
          </w:p>
        </w:tc>
        <w:tc>
          <w:tcPr>
            <w:tcW w:w="4400" w:type="dxa"/>
            <w:tcBorders>
              <w:top w:val="single" w:color="000000" w:sz="4" w:space="0"/>
              <w:left w:val="single" w:color="auto" w:sz="4" w:space="0"/>
              <w:bottom w:val="single" w:color="000000" w:sz="4" w:space="0"/>
              <w:right w:val="single" w:color="auto" w:sz="4" w:space="0"/>
            </w:tcBorders>
            <w:vAlign w:val="center"/>
          </w:tcPr>
          <w:p w14:paraId="7FA66638">
            <w:pPr>
              <w:numPr>
                <w:ilvl w:val="0"/>
                <w:numId w:val="0"/>
              </w:numPr>
              <w:rPr>
                <w:rFonts w:hint="eastAsia"/>
                <w:sz w:val="21"/>
                <w:szCs w:val="21"/>
                <w:lang w:eastAsia="zh-CN"/>
              </w:rPr>
            </w:pPr>
          </w:p>
          <w:p w14:paraId="34235206">
            <w:pPr>
              <w:numPr>
                <w:ilvl w:val="0"/>
                <w:numId w:val="1"/>
              </w:numPr>
              <w:rPr>
                <w:rFonts w:hint="eastAsia"/>
                <w:sz w:val="21"/>
                <w:szCs w:val="21"/>
                <w:lang w:eastAsia="zh-CN"/>
              </w:rPr>
            </w:pPr>
            <w:r>
              <w:rPr>
                <w:rFonts w:hint="eastAsia"/>
                <w:sz w:val="21"/>
                <w:szCs w:val="21"/>
              </w:rPr>
              <w:t>规划建设2个清洁公厕，投资单价80000元/座，估算总投资16万元</w:t>
            </w:r>
            <w:r>
              <w:rPr>
                <w:rFonts w:hint="eastAsia"/>
                <w:sz w:val="21"/>
                <w:szCs w:val="21"/>
                <w:lang w:eastAsia="zh-CN"/>
              </w:rPr>
              <w:t>，</w:t>
            </w:r>
          </w:p>
          <w:p w14:paraId="7D6F9201">
            <w:pPr>
              <w:numPr>
                <w:ilvl w:val="0"/>
                <w:numId w:val="1"/>
              </w:numPr>
              <w:ind w:left="0" w:leftChars="0" w:firstLine="0" w:firstLineChars="0"/>
              <w:rPr>
                <w:rFonts w:hint="eastAsia"/>
                <w:sz w:val="21"/>
                <w:szCs w:val="21"/>
                <w:lang w:eastAsia="zh-CN"/>
              </w:rPr>
            </w:pPr>
            <w:r>
              <w:rPr>
                <w:rFonts w:hint="eastAsia"/>
                <w:sz w:val="21"/>
                <w:szCs w:val="21"/>
              </w:rPr>
              <w:t>建设</w:t>
            </w:r>
            <w:r>
              <w:rPr>
                <w:rFonts w:hint="eastAsia"/>
                <w:sz w:val="21"/>
                <w:szCs w:val="21"/>
                <w:lang w:eastAsia="zh-CN"/>
              </w:rPr>
              <w:t>一个活动广场（停车场），</w:t>
            </w:r>
            <w:r>
              <w:rPr>
                <w:rFonts w:hint="eastAsia"/>
                <w:sz w:val="21"/>
                <w:szCs w:val="21"/>
              </w:rPr>
              <w:t>估算总投资</w:t>
            </w:r>
            <w:r>
              <w:rPr>
                <w:rFonts w:hint="eastAsia"/>
                <w:sz w:val="21"/>
                <w:szCs w:val="21"/>
                <w:lang w:val="en-US" w:eastAsia="zh-CN"/>
              </w:rPr>
              <w:t>20万元</w:t>
            </w:r>
            <w:r>
              <w:rPr>
                <w:rFonts w:hint="eastAsia"/>
                <w:sz w:val="21"/>
                <w:szCs w:val="21"/>
                <w:lang w:eastAsia="zh-CN"/>
              </w:rPr>
              <w:t>。</w:t>
            </w:r>
          </w:p>
          <w:p w14:paraId="25421319">
            <w:pPr>
              <w:widowControl w:val="0"/>
              <w:numPr>
                <w:ilvl w:val="0"/>
                <w:numId w:val="0"/>
              </w:numPr>
              <w:jc w:val="both"/>
              <w:rPr>
                <w:rFonts w:hint="eastAsia"/>
                <w:sz w:val="21"/>
                <w:szCs w:val="21"/>
                <w:lang w:eastAsia="zh-CN"/>
              </w:rPr>
            </w:pPr>
          </w:p>
          <w:p w14:paraId="6CD215A2">
            <w:pPr>
              <w:widowControl w:val="0"/>
              <w:numPr>
                <w:ilvl w:val="0"/>
                <w:numId w:val="0"/>
              </w:numPr>
              <w:jc w:val="both"/>
              <w:rPr>
                <w:rFonts w:hint="eastAsia"/>
                <w:sz w:val="21"/>
                <w:szCs w:val="21"/>
                <w:lang w:eastAsia="zh-CN"/>
              </w:rPr>
            </w:pPr>
          </w:p>
        </w:tc>
        <w:tc>
          <w:tcPr>
            <w:tcW w:w="2010" w:type="dxa"/>
            <w:gridSpan w:val="2"/>
            <w:tcBorders>
              <w:top w:val="single" w:color="000000" w:sz="4" w:space="0"/>
              <w:left w:val="single" w:color="auto" w:sz="4" w:space="0"/>
              <w:bottom w:val="single" w:color="000000" w:sz="4" w:space="0"/>
              <w:right w:val="single" w:color="000000" w:sz="4" w:space="0"/>
            </w:tcBorders>
            <w:vAlign w:val="center"/>
          </w:tcPr>
          <w:p w14:paraId="1AB6EF4B">
            <w:pPr>
              <w:widowControl/>
              <w:spacing w:line="460" w:lineRule="exact"/>
              <w:jc w:val="center"/>
              <w:rPr>
                <w:rFonts w:hint="eastAsia" w:ascii="仿宋_GB2312" w:hAnsi="宋体" w:cs="宋体" w:eastAsiaTheme="minorEastAsia"/>
                <w:color w:val="000000"/>
                <w:kern w:val="0"/>
                <w:sz w:val="21"/>
                <w:szCs w:val="21"/>
                <w:lang w:val="en-US" w:eastAsia="zh-CN"/>
              </w:rPr>
            </w:pPr>
            <w:r>
              <w:rPr>
                <w:rFonts w:hint="eastAsia" w:ascii="仿宋_GB2312" w:hAnsi="宋体" w:cs="宋体"/>
                <w:color w:val="000000"/>
                <w:kern w:val="0"/>
                <w:sz w:val="21"/>
                <w:szCs w:val="21"/>
                <w:lang w:val="en-US" w:eastAsia="zh-CN"/>
              </w:rPr>
              <w:t xml:space="preserve"> 36万元</w:t>
            </w:r>
          </w:p>
        </w:tc>
        <w:tc>
          <w:tcPr>
            <w:tcW w:w="955" w:type="dxa"/>
            <w:tcBorders>
              <w:top w:val="single" w:color="000000" w:sz="4" w:space="0"/>
              <w:left w:val="single" w:color="000000" w:sz="4" w:space="0"/>
              <w:bottom w:val="single" w:color="000000" w:sz="4" w:space="0"/>
              <w:right w:val="single" w:color="000000" w:sz="4" w:space="0"/>
            </w:tcBorders>
            <w:vAlign w:val="center"/>
          </w:tcPr>
          <w:p w14:paraId="3B202EFE">
            <w:pPr>
              <w:widowControl/>
              <w:spacing w:line="460" w:lineRule="exact"/>
              <w:jc w:val="center"/>
              <w:rPr>
                <w:rFonts w:hint="eastAsia" w:ascii="仿宋_GB2312" w:hAnsi="宋体" w:eastAsia="仿宋_GB2312" w:cs="宋体"/>
                <w:color w:val="000000"/>
                <w:kern w:val="0"/>
                <w:sz w:val="21"/>
                <w:szCs w:val="21"/>
                <w:lang w:eastAsia="zh-CN"/>
              </w:rPr>
            </w:pPr>
            <w:r>
              <w:rPr>
                <w:rFonts w:hint="eastAsia" w:ascii="仿宋_GB2312" w:hAnsi="宋体" w:cs="宋体"/>
                <w:color w:val="000000"/>
                <w:kern w:val="0"/>
                <w:sz w:val="21"/>
                <w:szCs w:val="21"/>
                <w:lang w:val="en-US" w:eastAsia="zh-CN"/>
              </w:rPr>
              <w:t xml:space="preserve"> </w:t>
            </w:r>
          </w:p>
        </w:tc>
        <w:tc>
          <w:tcPr>
            <w:tcW w:w="1550" w:type="dxa"/>
            <w:tcBorders>
              <w:top w:val="single" w:color="000000" w:sz="4" w:space="0"/>
              <w:left w:val="single" w:color="000000" w:sz="4" w:space="0"/>
              <w:bottom w:val="single" w:color="000000" w:sz="4" w:space="0"/>
              <w:right w:val="single" w:color="000000" w:sz="4" w:space="0"/>
            </w:tcBorders>
            <w:vAlign w:val="center"/>
          </w:tcPr>
          <w:p w14:paraId="675D7BE6">
            <w:pPr>
              <w:widowControl/>
              <w:spacing w:line="46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镇人民政府</w:t>
            </w:r>
          </w:p>
        </w:tc>
      </w:tr>
      <w:tr w14:paraId="7592555E">
        <w:tblPrEx>
          <w:tblCellMar>
            <w:top w:w="15" w:type="dxa"/>
            <w:left w:w="108" w:type="dxa"/>
            <w:bottom w:w="15" w:type="dxa"/>
            <w:right w:w="108" w:type="dxa"/>
          </w:tblCellMar>
        </w:tblPrEx>
        <w:trPr>
          <w:trHeight w:val="585" w:hRule="atLeast"/>
        </w:trPr>
        <w:tc>
          <w:tcPr>
            <w:tcW w:w="457" w:type="dxa"/>
            <w:tcBorders>
              <w:top w:val="single" w:color="000000" w:sz="4" w:space="0"/>
              <w:left w:val="single" w:color="000000" w:sz="4" w:space="0"/>
              <w:bottom w:val="single" w:color="000000" w:sz="4" w:space="0"/>
              <w:right w:val="single" w:color="000000" w:sz="4" w:space="0"/>
            </w:tcBorders>
            <w:vAlign w:val="center"/>
          </w:tcPr>
          <w:p w14:paraId="17240C2C">
            <w:pPr>
              <w:widowControl/>
              <w:spacing w:line="480" w:lineRule="exact"/>
              <w:jc w:val="center"/>
              <w:rPr>
                <w:rFonts w:hint="eastAsia" w:ascii="黑体" w:hAnsi="宋体" w:eastAsia="黑体" w:cs="宋体"/>
                <w:b w:val="0"/>
                <w:bCs w:val="0"/>
                <w:color w:val="000000"/>
                <w:kern w:val="0"/>
                <w:sz w:val="21"/>
                <w:szCs w:val="21"/>
              </w:rPr>
            </w:pPr>
            <w:r>
              <w:rPr>
                <w:rFonts w:hint="eastAsia" w:ascii="黑体" w:hAnsi="宋体" w:eastAsia="黑体" w:cs="宋体"/>
                <w:b w:val="0"/>
                <w:bCs w:val="0"/>
                <w:color w:val="000000"/>
                <w:kern w:val="0"/>
                <w:sz w:val="21"/>
                <w:szCs w:val="21"/>
              </w:rPr>
              <w:t>亮化工程</w:t>
            </w:r>
          </w:p>
        </w:tc>
        <w:tc>
          <w:tcPr>
            <w:tcW w:w="4400" w:type="dxa"/>
            <w:tcBorders>
              <w:top w:val="single" w:color="auto" w:sz="4" w:space="0"/>
              <w:left w:val="single" w:color="000000" w:sz="4" w:space="0"/>
              <w:bottom w:val="single" w:color="000000" w:sz="4" w:space="0"/>
              <w:right w:val="single" w:color="000000" w:sz="4" w:space="0"/>
            </w:tcBorders>
            <w:vAlign w:val="center"/>
          </w:tcPr>
          <w:p w14:paraId="703FD672">
            <w:pPr>
              <w:widowControl/>
              <w:spacing w:line="360" w:lineRule="exact"/>
              <w:jc w:val="left"/>
              <w:rPr>
                <w:rFonts w:hint="eastAsia" w:ascii="仿宋_GB2312" w:hAnsi="宋体" w:eastAsia="仿宋_GB2312" w:cs="宋体"/>
                <w:color w:val="000000"/>
                <w:kern w:val="0"/>
                <w:sz w:val="21"/>
                <w:szCs w:val="21"/>
                <w:lang w:val="en-US" w:eastAsia="zh-CN"/>
              </w:rPr>
            </w:pPr>
          </w:p>
          <w:p w14:paraId="0F18AFF2">
            <w:pPr>
              <w:widowControl/>
              <w:spacing w:line="360" w:lineRule="exact"/>
              <w:jc w:val="left"/>
              <w:rPr>
                <w:rFonts w:hint="eastAsia" w:ascii="仿宋_GB2312" w:hAnsi="宋体" w:eastAsia="仿宋_GB2312" w:cs="宋体"/>
                <w:color w:val="000000"/>
                <w:kern w:val="0"/>
                <w:sz w:val="21"/>
                <w:szCs w:val="21"/>
                <w:lang w:val="en-US" w:eastAsia="zh-CN"/>
              </w:rPr>
            </w:pPr>
            <w:r>
              <w:rPr>
                <w:rFonts w:hint="eastAsia"/>
                <w:sz w:val="21"/>
                <w:szCs w:val="21"/>
              </w:rPr>
              <w:t>自然村规划安装</w:t>
            </w:r>
            <w:r>
              <w:rPr>
                <w:rFonts w:hint="eastAsia"/>
                <w:sz w:val="21"/>
                <w:szCs w:val="21"/>
                <w:lang w:val="en-US" w:eastAsia="zh-CN"/>
              </w:rPr>
              <w:t>20</w:t>
            </w:r>
            <w:r>
              <w:rPr>
                <w:rFonts w:hint="eastAsia"/>
                <w:sz w:val="21"/>
                <w:szCs w:val="21"/>
              </w:rPr>
              <w:t>盏太阳能路灯，投资单价4000元/盏，概算总投资</w:t>
            </w:r>
            <w:r>
              <w:rPr>
                <w:rFonts w:hint="eastAsia"/>
                <w:sz w:val="21"/>
                <w:szCs w:val="21"/>
                <w:lang w:val="en-US" w:eastAsia="zh-CN"/>
              </w:rPr>
              <w:t>8</w:t>
            </w:r>
            <w:r>
              <w:rPr>
                <w:rFonts w:hint="eastAsia"/>
                <w:sz w:val="21"/>
                <w:szCs w:val="21"/>
              </w:rPr>
              <w:t>万元。</w:t>
            </w:r>
          </w:p>
          <w:p w14:paraId="1E6A4857">
            <w:pPr>
              <w:widowControl/>
              <w:spacing w:line="360" w:lineRule="exact"/>
              <w:jc w:val="left"/>
              <w:rPr>
                <w:rFonts w:hint="eastAsia" w:ascii="仿宋_GB2312" w:hAnsi="宋体" w:eastAsia="仿宋_GB2312" w:cs="宋体"/>
                <w:color w:val="000000"/>
                <w:kern w:val="0"/>
                <w:sz w:val="21"/>
                <w:szCs w:val="21"/>
                <w:lang w:val="en-US" w:eastAsia="zh-CN"/>
              </w:rPr>
            </w:pPr>
          </w:p>
          <w:p w14:paraId="06F7754F">
            <w:pPr>
              <w:widowControl/>
              <w:spacing w:line="360" w:lineRule="exact"/>
              <w:jc w:val="left"/>
              <w:rPr>
                <w:rFonts w:hint="eastAsia" w:ascii="仿宋_GB2312" w:hAnsi="宋体" w:eastAsia="仿宋_GB2312" w:cs="宋体"/>
                <w:color w:val="000000"/>
                <w:kern w:val="0"/>
                <w:sz w:val="21"/>
                <w:szCs w:val="21"/>
                <w:lang w:val="en-US" w:eastAsia="zh-CN"/>
              </w:rPr>
            </w:pPr>
          </w:p>
        </w:tc>
        <w:tc>
          <w:tcPr>
            <w:tcW w:w="2010" w:type="dxa"/>
            <w:gridSpan w:val="2"/>
            <w:tcBorders>
              <w:top w:val="single" w:color="000000" w:sz="4" w:space="0"/>
              <w:left w:val="single" w:color="000000" w:sz="4" w:space="0"/>
              <w:bottom w:val="single" w:color="000000" w:sz="4" w:space="0"/>
              <w:right w:val="single" w:color="000000" w:sz="4" w:space="0"/>
            </w:tcBorders>
            <w:vAlign w:val="center"/>
          </w:tcPr>
          <w:p w14:paraId="781D4D6C">
            <w:pPr>
              <w:widowControl/>
              <w:spacing w:line="360" w:lineRule="exact"/>
              <w:jc w:val="center"/>
              <w:rPr>
                <w:rFonts w:hint="eastAsia" w:ascii="仿宋_GB2312" w:hAnsi="宋体" w:cs="宋体" w:eastAsiaTheme="minorEastAsia"/>
                <w:color w:val="000000"/>
                <w:kern w:val="0"/>
                <w:sz w:val="21"/>
                <w:szCs w:val="21"/>
                <w:lang w:val="en-US" w:eastAsia="zh-CN"/>
              </w:rPr>
            </w:pPr>
            <w:r>
              <w:rPr>
                <w:rFonts w:hint="eastAsia" w:ascii="仿宋_GB2312" w:hAnsi="宋体" w:cs="宋体"/>
                <w:color w:val="000000"/>
                <w:kern w:val="0"/>
                <w:sz w:val="21"/>
                <w:szCs w:val="21"/>
                <w:lang w:val="en-US" w:eastAsia="zh-CN"/>
              </w:rPr>
              <w:t>8万元</w:t>
            </w:r>
          </w:p>
        </w:tc>
        <w:tc>
          <w:tcPr>
            <w:tcW w:w="955" w:type="dxa"/>
            <w:tcBorders>
              <w:top w:val="single" w:color="000000" w:sz="4" w:space="0"/>
              <w:left w:val="single" w:color="000000" w:sz="4" w:space="0"/>
              <w:bottom w:val="single" w:color="000000" w:sz="4" w:space="0"/>
              <w:right w:val="single" w:color="000000" w:sz="4" w:space="0"/>
            </w:tcBorders>
            <w:vAlign w:val="center"/>
          </w:tcPr>
          <w:p w14:paraId="169D83B0">
            <w:pPr>
              <w:widowControl/>
              <w:spacing w:line="360" w:lineRule="exact"/>
              <w:jc w:val="center"/>
              <w:rPr>
                <w:rFonts w:hint="eastAsia" w:ascii="仿宋_GB2312" w:hAnsi="宋体" w:cs="宋体"/>
                <w:color w:val="000000"/>
                <w:kern w:val="0"/>
                <w:sz w:val="21"/>
                <w:szCs w:val="21"/>
              </w:rPr>
            </w:pPr>
          </w:p>
        </w:tc>
        <w:tc>
          <w:tcPr>
            <w:tcW w:w="1550" w:type="dxa"/>
            <w:tcBorders>
              <w:top w:val="single" w:color="000000" w:sz="4" w:space="0"/>
              <w:left w:val="single" w:color="000000" w:sz="4" w:space="0"/>
              <w:bottom w:val="single" w:color="000000" w:sz="4" w:space="0"/>
              <w:right w:val="single" w:color="000000" w:sz="4" w:space="0"/>
            </w:tcBorders>
            <w:vAlign w:val="center"/>
          </w:tcPr>
          <w:p w14:paraId="71D51415">
            <w:pPr>
              <w:widowControl/>
              <w:spacing w:line="36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县人民政府</w:t>
            </w:r>
          </w:p>
        </w:tc>
      </w:tr>
      <w:tr w14:paraId="2AD58C62">
        <w:tblPrEx>
          <w:tblCellMar>
            <w:top w:w="15" w:type="dxa"/>
            <w:left w:w="108" w:type="dxa"/>
            <w:bottom w:w="15" w:type="dxa"/>
            <w:right w:w="108" w:type="dxa"/>
          </w:tblCellMar>
        </w:tblPrEx>
        <w:trPr>
          <w:trHeight w:val="630" w:hRule="atLeast"/>
        </w:trPr>
        <w:tc>
          <w:tcPr>
            <w:tcW w:w="457" w:type="dxa"/>
            <w:tcBorders>
              <w:top w:val="single" w:color="000000" w:sz="4" w:space="0"/>
              <w:left w:val="single" w:color="000000" w:sz="4" w:space="0"/>
              <w:bottom w:val="single" w:color="000000" w:sz="4" w:space="0"/>
              <w:right w:val="single" w:color="000000" w:sz="4" w:space="0"/>
            </w:tcBorders>
            <w:vAlign w:val="center"/>
          </w:tcPr>
          <w:p w14:paraId="545140BA">
            <w:pPr>
              <w:widowControl/>
              <w:spacing w:line="360" w:lineRule="exact"/>
              <w:jc w:val="center"/>
              <w:rPr>
                <w:rFonts w:hint="eastAsia" w:ascii="黑体" w:hAnsi="宋体" w:eastAsia="黑体" w:cs="宋体"/>
                <w:color w:val="000000"/>
                <w:kern w:val="0"/>
                <w:sz w:val="21"/>
                <w:szCs w:val="21"/>
              </w:rPr>
            </w:pPr>
            <w:r>
              <w:rPr>
                <w:rFonts w:hint="eastAsia" w:ascii="黑体" w:hAnsi="宋体" w:eastAsia="黑体" w:cs="宋体"/>
                <w:color w:val="000000"/>
                <w:kern w:val="0"/>
                <w:sz w:val="21"/>
                <w:szCs w:val="21"/>
              </w:rPr>
              <w:t>民居建设</w:t>
            </w:r>
          </w:p>
        </w:tc>
        <w:tc>
          <w:tcPr>
            <w:tcW w:w="4400" w:type="dxa"/>
            <w:tcBorders>
              <w:top w:val="single" w:color="000000" w:sz="4" w:space="0"/>
              <w:left w:val="single" w:color="000000" w:sz="4" w:space="0"/>
              <w:bottom w:val="single" w:color="000000" w:sz="4" w:space="0"/>
              <w:right w:val="single" w:color="000000" w:sz="4" w:space="0"/>
            </w:tcBorders>
            <w:vAlign w:val="center"/>
          </w:tcPr>
          <w:p w14:paraId="634C6985">
            <w:pPr>
              <w:widowControl/>
              <w:spacing w:line="360" w:lineRule="exact"/>
              <w:jc w:val="left"/>
              <w:rPr>
                <w:rFonts w:hint="default" w:ascii="仿宋_GB2312" w:hAnsi="宋体" w:cs="宋体" w:eastAsiaTheme="minorEastAsia"/>
                <w:color w:val="000000"/>
                <w:kern w:val="0"/>
                <w:sz w:val="21"/>
                <w:szCs w:val="21"/>
                <w:lang w:val="en-US" w:eastAsia="zh-CN"/>
              </w:rPr>
            </w:pPr>
            <w:r>
              <w:rPr>
                <w:rFonts w:hint="eastAsia" w:ascii="仿宋_GB2312" w:hAnsi="宋体" w:cs="宋体"/>
                <w:color w:val="000000"/>
                <w:kern w:val="0"/>
                <w:sz w:val="21"/>
                <w:szCs w:val="21"/>
                <w:lang w:eastAsia="zh-CN"/>
              </w:rPr>
              <w:t>继续完成</w:t>
            </w:r>
            <w:r>
              <w:rPr>
                <w:rFonts w:hint="eastAsia" w:ascii="仿宋_GB2312" w:hAnsi="宋体" w:cs="宋体"/>
                <w:color w:val="000000"/>
                <w:kern w:val="0"/>
                <w:sz w:val="21"/>
                <w:szCs w:val="21"/>
                <w:lang w:val="en-US" w:eastAsia="zh-CN"/>
              </w:rPr>
              <w:t>29户砖木结构农户A级安居房建设。</w:t>
            </w:r>
          </w:p>
        </w:tc>
        <w:tc>
          <w:tcPr>
            <w:tcW w:w="2010" w:type="dxa"/>
            <w:gridSpan w:val="2"/>
            <w:tcBorders>
              <w:top w:val="single" w:color="000000" w:sz="4" w:space="0"/>
              <w:left w:val="single" w:color="000000" w:sz="4" w:space="0"/>
              <w:bottom w:val="single" w:color="000000" w:sz="4" w:space="0"/>
              <w:right w:val="single" w:color="000000" w:sz="4" w:space="0"/>
            </w:tcBorders>
            <w:vAlign w:val="center"/>
          </w:tcPr>
          <w:p w14:paraId="78ACD36B">
            <w:pPr>
              <w:widowControl/>
              <w:spacing w:line="360" w:lineRule="exact"/>
              <w:jc w:val="both"/>
              <w:rPr>
                <w:rFonts w:hint="eastAsia" w:ascii="仿宋_GB2312" w:hAnsi="宋体" w:cs="宋体"/>
                <w:color w:val="000000"/>
                <w:kern w:val="0"/>
                <w:sz w:val="21"/>
                <w:szCs w:val="21"/>
              </w:rPr>
            </w:pPr>
          </w:p>
        </w:tc>
        <w:tc>
          <w:tcPr>
            <w:tcW w:w="955" w:type="dxa"/>
            <w:tcBorders>
              <w:top w:val="single" w:color="000000" w:sz="4" w:space="0"/>
              <w:left w:val="single" w:color="000000" w:sz="4" w:space="0"/>
              <w:bottom w:val="single" w:color="000000" w:sz="4" w:space="0"/>
              <w:right w:val="single" w:color="000000" w:sz="4" w:space="0"/>
            </w:tcBorders>
            <w:vAlign w:val="center"/>
          </w:tcPr>
          <w:p w14:paraId="46159651">
            <w:pPr>
              <w:widowControl/>
              <w:spacing w:line="360" w:lineRule="exact"/>
              <w:jc w:val="center"/>
              <w:rPr>
                <w:rFonts w:hint="eastAsia" w:ascii="仿宋_GB2312" w:hAnsi="宋体" w:cs="宋体"/>
                <w:color w:val="000000"/>
                <w:kern w:val="0"/>
                <w:sz w:val="21"/>
                <w:szCs w:val="21"/>
              </w:rPr>
            </w:pPr>
          </w:p>
        </w:tc>
        <w:tc>
          <w:tcPr>
            <w:tcW w:w="1550" w:type="dxa"/>
            <w:tcBorders>
              <w:top w:val="single" w:color="000000" w:sz="4" w:space="0"/>
              <w:left w:val="single" w:color="000000" w:sz="4" w:space="0"/>
              <w:bottom w:val="single" w:color="000000" w:sz="4" w:space="0"/>
              <w:right w:val="single" w:color="000000" w:sz="4" w:space="0"/>
            </w:tcBorders>
            <w:vAlign w:val="center"/>
          </w:tcPr>
          <w:p w14:paraId="4F63AE36">
            <w:pPr>
              <w:widowControl/>
              <w:spacing w:line="36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乡村振兴理事会</w:t>
            </w:r>
          </w:p>
        </w:tc>
      </w:tr>
      <w:tr w14:paraId="338E1DAF">
        <w:tblPrEx>
          <w:tblCellMar>
            <w:top w:w="15" w:type="dxa"/>
            <w:left w:w="108" w:type="dxa"/>
            <w:bottom w:w="15" w:type="dxa"/>
            <w:right w:w="108"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vAlign w:val="center"/>
          </w:tcPr>
          <w:p w14:paraId="7E603E2F">
            <w:pPr>
              <w:widowControl/>
              <w:spacing w:line="360" w:lineRule="exact"/>
              <w:jc w:val="center"/>
              <w:rPr>
                <w:rFonts w:hint="eastAsia" w:ascii="黑体" w:hAnsi="宋体" w:eastAsia="黑体" w:cs="宋体"/>
                <w:color w:val="000000"/>
                <w:kern w:val="0"/>
                <w:sz w:val="21"/>
                <w:szCs w:val="21"/>
              </w:rPr>
            </w:pPr>
            <w:r>
              <w:rPr>
                <w:rFonts w:hint="eastAsia" w:ascii="黑体" w:hAnsi="宋体" w:eastAsia="黑体" w:cs="宋体"/>
                <w:color w:val="000000"/>
                <w:kern w:val="0"/>
                <w:sz w:val="21"/>
                <w:szCs w:val="21"/>
              </w:rPr>
              <w:t>电力电信</w:t>
            </w:r>
          </w:p>
        </w:tc>
        <w:tc>
          <w:tcPr>
            <w:tcW w:w="4400" w:type="dxa"/>
            <w:tcBorders>
              <w:top w:val="single" w:color="000000" w:sz="4" w:space="0"/>
              <w:left w:val="single" w:color="000000" w:sz="4" w:space="0"/>
              <w:bottom w:val="single" w:color="000000" w:sz="4" w:space="0"/>
              <w:right w:val="single" w:color="000000" w:sz="4" w:space="0"/>
            </w:tcBorders>
            <w:vAlign w:val="center"/>
          </w:tcPr>
          <w:p w14:paraId="7AD42CF7">
            <w:pPr>
              <w:widowControl/>
              <w:spacing w:line="360" w:lineRule="exact"/>
              <w:jc w:val="left"/>
              <w:rPr>
                <w:rFonts w:hint="default" w:ascii="仿宋_GB2312" w:hAnsi="宋体" w:cs="宋体" w:eastAsiaTheme="minorEastAsia"/>
                <w:color w:val="000000"/>
                <w:kern w:val="0"/>
                <w:sz w:val="21"/>
                <w:szCs w:val="21"/>
                <w:lang w:val="en-US" w:eastAsia="zh-CN"/>
              </w:rPr>
            </w:pPr>
            <w:r>
              <w:rPr>
                <w:rFonts w:hint="eastAsia" w:ascii="仿宋_GB2312" w:hAnsi="宋体" w:cs="宋体"/>
                <w:color w:val="000000"/>
                <w:kern w:val="0"/>
                <w:sz w:val="21"/>
                <w:szCs w:val="21"/>
                <w:lang w:eastAsia="zh-CN"/>
              </w:rPr>
              <w:t>实施第二次农网用电改造，把进村入户电杆换成</w:t>
            </w:r>
            <w:r>
              <w:rPr>
                <w:rFonts w:hint="eastAsia" w:ascii="仿宋_GB2312" w:hAnsi="宋体" w:cs="宋体"/>
                <w:color w:val="000000"/>
                <w:kern w:val="0"/>
                <w:sz w:val="21"/>
                <w:szCs w:val="21"/>
                <w:lang w:val="en-US" w:eastAsia="zh-CN"/>
              </w:rPr>
              <w:t>12米杆。</w:t>
            </w:r>
            <w:r>
              <w:rPr>
                <w:rFonts w:hint="eastAsia" w:ascii="仿宋_GB2312" w:hAnsi="宋体" w:cs="宋体"/>
                <w:color w:val="000000"/>
                <w:kern w:val="0"/>
                <w:sz w:val="24"/>
                <w:szCs w:val="24"/>
              </w:rPr>
              <w:t>有线网络：主线3千米，入户线3千米</w:t>
            </w:r>
          </w:p>
        </w:tc>
        <w:tc>
          <w:tcPr>
            <w:tcW w:w="2010" w:type="dxa"/>
            <w:gridSpan w:val="2"/>
            <w:tcBorders>
              <w:top w:val="single" w:color="000000" w:sz="4" w:space="0"/>
              <w:left w:val="single" w:color="000000" w:sz="4" w:space="0"/>
              <w:bottom w:val="single" w:color="000000" w:sz="4" w:space="0"/>
              <w:right w:val="single" w:color="000000" w:sz="4" w:space="0"/>
            </w:tcBorders>
            <w:vAlign w:val="center"/>
          </w:tcPr>
          <w:p w14:paraId="504C38CE">
            <w:pPr>
              <w:widowControl/>
              <w:spacing w:line="360" w:lineRule="exact"/>
              <w:jc w:val="center"/>
              <w:rPr>
                <w:rFonts w:hint="eastAsia" w:ascii="仿宋_GB2312" w:hAnsi="宋体" w:cs="宋体"/>
                <w:color w:val="000000"/>
                <w:kern w:val="0"/>
                <w:sz w:val="21"/>
                <w:szCs w:val="21"/>
              </w:rPr>
            </w:pPr>
          </w:p>
        </w:tc>
        <w:tc>
          <w:tcPr>
            <w:tcW w:w="955" w:type="dxa"/>
            <w:tcBorders>
              <w:top w:val="single" w:color="000000" w:sz="4" w:space="0"/>
              <w:left w:val="single" w:color="000000" w:sz="4" w:space="0"/>
              <w:bottom w:val="single" w:color="000000" w:sz="4" w:space="0"/>
              <w:right w:val="single" w:color="000000" w:sz="4" w:space="0"/>
            </w:tcBorders>
            <w:vAlign w:val="center"/>
          </w:tcPr>
          <w:p w14:paraId="6D30BE8C">
            <w:pPr>
              <w:widowControl/>
              <w:spacing w:line="360" w:lineRule="exact"/>
              <w:jc w:val="center"/>
              <w:rPr>
                <w:rFonts w:hint="eastAsia" w:ascii="仿宋_GB2312" w:hAnsi="宋体" w:cs="宋体"/>
                <w:color w:val="000000"/>
                <w:kern w:val="0"/>
                <w:sz w:val="21"/>
                <w:szCs w:val="21"/>
              </w:rPr>
            </w:pPr>
          </w:p>
        </w:tc>
        <w:tc>
          <w:tcPr>
            <w:tcW w:w="1550" w:type="dxa"/>
            <w:tcBorders>
              <w:top w:val="single" w:color="000000" w:sz="4" w:space="0"/>
              <w:left w:val="single" w:color="000000" w:sz="4" w:space="0"/>
              <w:bottom w:val="single" w:color="000000" w:sz="4" w:space="0"/>
              <w:right w:val="single" w:color="000000" w:sz="4" w:space="0"/>
            </w:tcBorders>
            <w:vAlign w:val="center"/>
          </w:tcPr>
          <w:p w14:paraId="061BA1F4">
            <w:pPr>
              <w:widowControl/>
              <w:spacing w:line="36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县人民政府</w:t>
            </w:r>
          </w:p>
        </w:tc>
      </w:tr>
      <w:tr w14:paraId="67997AAE">
        <w:tblPrEx>
          <w:tblCellMar>
            <w:top w:w="15" w:type="dxa"/>
            <w:left w:w="108" w:type="dxa"/>
            <w:bottom w:w="15" w:type="dxa"/>
            <w:right w:w="108" w:type="dxa"/>
          </w:tblCellMar>
        </w:tblPrEx>
        <w:trPr>
          <w:trHeight w:val="90" w:hRule="atLeast"/>
        </w:trPr>
        <w:tc>
          <w:tcPr>
            <w:tcW w:w="457" w:type="dxa"/>
            <w:tcBorders>
              <w:top w:val="single" w:color="000000" w:sz="4" w:space="0"/>
              <w:left w:val="single" w:color="000000" w:sz="4" w:space="0"/>
              <w:bottom w:val="single" w:color="000000" w:sz="4" w:space="0"/>
              <w:right w:val="single" w:color="000000" w:sz="4" w:space="0"/>
            </w:tcBorders>
            <w:vAlign w:val="center"/>
          </w:tcPr>
          <w:p w14:paraId="03A38E90">
            <w:pPr>
              <w:widowControl/>
              <w:spacing w:line="360" w:lineRule="exact"/>
              <w:jc w:val="left"/>
              <w:rPr>
                <w:rFonts w:hint="eastAsia" w:ascii="仿宋_GB2312" w:hAnsi="宋体" w:eastAsia="仿宋_GB2312" w:cs="宋体"/>
                <w:color w:val="000000"/>
                <w:kern w:val="0"/>
                <w:sz w:val="21"/>
                <w:szCs w:val="21"/>
                <w:lang w:eastAsia="zh-CN"/>
              </w:rPr>
            </w:pPr>
            <w:r>
              <w:rPr>
                <w:rFonts w:hint="eastAsia" w:ascii="仿宋_GB2312" w:hAnsi="宋体" w:cs="宋体"/>
                <w:color w:val="000000"/>
                <w:kern w:val="0"/>
                <w:sz w:val="21"/>
                <w:szCs w:val="21"/>
                <w:lang w:eastAsia="zh-CN"/>
              </w:rPr>
              <w:t>产发展业</w:t>
            </w:r>
          </w:p>
        </w:tc>
        <w:tc>
          <w:tcPr>
            <w:tcW w:w="4400" w:type="dxa"/>
            <w:tcBorders>
              <w:top w:val="single" w:color="000000" w:sz="4" w:space="0"/>
              <w:left w:val="single" w:color="000000" w:sz="4" w:space="0"/>
              <w:bottom w:val="single" w:color="000000" w:sz="4" w:space="0"/>
              <w:right w:val="single" w:color="000000" w:sz="4" w:space="0"/>
            </w:tcBorders>
            <w:vAlign w:val="center"/>
          </w:tcPr>
          <w:p w14:paraId="1D84714E">
            <w:pPr>
              <w:widowControl/>
              <w:spacing w:line="360" w:lineRule="exact"/>
              <w:jc w:val="left"/>
              <w:rPr>
                <w:rFonts w:hint="eastAsia" w:ascii="仿宋_GB2312" w:hAnsi="宋体" w:cs="宋体"/>
                <w:color w:val="000000"/>
                <w:kern w:val="0"/>
                <w:sz w:val="21"/>
                <w:szCs w:val="21"/>
              </w:rPr>
            </w:pPr>
            <w:r>
              <w:rPr>
                <w:rFonts w:hint="eastAsia" w:ascii="仿宋_GB2312" w:hAnsi="宋体" w:cs="宋体"/>
                <w:color w:val="000000"/>
                <w:kern w:val="0"/>
                <w:sz w:val="24"/>
                <w:szCs w:val="24"/>
              </w:rPr>
              <w:t>抓好现有</w:t>
            </w:r>
            <w:r>
              <w:rPr>
                <w:rFonts w:hint="eastAsia" w:ascii="仿宋_GB2312" w:hAnsi="宋体" w:cs="宋体"/>
                <w:color w:val="000000"/>
                <w:kern w:val="0"/>
                <w:sz w:val="24"/>
                <w:szCs w:val="24"/>
                <w:lang w:eastAsia="zh-CN"/>
              </w:rPr>
              <w:t>甘蔗</w:t>
            </w:r>
            <w:r>
              <w:rPr>
                <w:rFonts w:hint="eastAsia" w:ascii="仿宋_GB2312" w:hAnsi="宋体" w:cs="宋体"/>
                <w:color w:val="000000"/>
                <w:kern w:val="0"/>
                <w:sz w:val="24"/>
                <w:szCs w:val="24"/>
                <w:lang w:val="en-US" w:eastAsia="zh-CN"/>
              </w:rPr>
              <w:t xml:space="preserve"> </w:t>
            </w:r>
            <w:r>
              <w:rPr>
                <w:rFonts w:hint="eastAsia" w:ascii="仿宋_GB2312" w:hAnsi="宋体" w:cs="宋体"/>
                <w:color w:val="000000"/>
                <w:kern w:val="0"/>
                <w:sz w:val="24"/>
                <w:szCs w:val="24"/>
                <w:lang w:eastAsia="zh-CN"/>
              </w:rPr>
              <w:t>、玉米</w:t>
            </w:r>
            <w:r>
              <w:rPr>
                <w:rFonts w:hint="eastAsia" w:ascii="仿宋_GB2312" w:hAnsi="宋体" w:cs="宋体"/>
                <w:color w:val="000000"/>
                <w:kern w:val="0"/>
                <w:sz w:val="24"/>
                <w:szCs w:val="24"/>
                <w:lang w:val="en-US" w:eastAsia="zh-CN"/>
              </w:rPr>
              <w:t>种植面积，引资发展热带水果产业。</w:t>
            </w:r>
          </w:p>
        </w:tc>
        <w:tc>
          <w:tcPr>
            <w:tcW w:w="2010" w:type="dxa"/>
            <w:gridSpan w:val="2"/>
            <w:tcBorders>
              <w:top w:val="single" w:color="000000" w:sz="4" w:space="0"/>
              <w:left w:val="single" w:color="000000" w:sz="4" w:space="0"/>
              <w:bottom w:val="single" w:color="000000" w:sz="4" w:space="0"/>
              <w:right w:val="single" w:color="000000" w:sz="4" w:space="0"/>
            </w:tcBorders>
            <w:vAlign w:val="center"/>
          </w:tcPr>
          <w:p w14:paraId="4C7AEBC7">
            <w:pPr>
              <w:widowControl/>
              <w:spacing w:line="360" w:lineRule="exact"/>
              <w:jc w:val="center"/>
              <w:rPr>
                <w:rFonts w:hint="eastAsia" w:ascii="仿宋_GB2312" w:hAnsi="宋体" w:cs="宋体"/>
                <w:color w:val="000000"/>
                <w:kern w:val="0"/>
                <w:sz w:val="21"/>
                <w:szCs w:val="21"/>
              </w:rPr>
            </w:pPr>
          </w:p>
        </w:tc>
        <w:tc>
          <w:tcPr>
            <w:tcW w:w="955" w:type="dxa"/>
            <w:tcBorders>
              <w:top w:val="single" w:color="000000" w:sz="4" w:space="0"/>
              <w:left w:val="single" w:color="000000" w:sz="4" w:space="0"/>
              <w:bottom w:val="single" w:color="000000" w:sz="4" w:space="0"/>
              <w:right w:val="single" w:color="000000" w:sz="4" w:space="0"/>
            </w:tcBorders>
            <w:vAlign w:val="center"/>
          </w:tcPr>
          <w:p w14:paraId="119BC443">
            <w:pPr>
              <w:widowControl/>
              <w:spacing w:line="36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420</w:t>
            </w:r>
          </w:p>
        </w:tc>
        <w:tc>
          <w:tcPr>
            <w:tcW w:w="1550" w:type="dxa"/>
            <w:tcBorders>
              <w:top w:val="single" w:color="000000" w:sz="4" w:space="0"/>
              <w:left w:val="single" w:color="000000" w:sz="4" w:space="0"/>
              <w:bottom w:val="single" w:color="000000" w:sz="4" w:space="0"/>
              <w:right w:val="single" w:color="000000" w:sz="4" w:space="0"/>
            </w:tcBorders>
            <w:vAlign w:val="center"/>
          </w:tcPr>
          <w:p w14:paraId="10535819">
            <w:pPr>
              <w:widowControl/>
              <w:spacing w:line="36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乡村振兴理事会</w:t>
            </w:r>
          </w:p>
        </w:tc>
      </w:tr>
      <w:tr w14:paraId="33ED398C">
        <w:tblPrEx>
          <w:tblCellMar>
            <w:top w:w="15" w:type="dxa"/>
            <w:left w:w="108" w:type="dxa"/>
            <w:bottom w:w="15" w:type="dxa"/>
            <w:right w:w="108" w:type="dxa"/>
          </w:tblCellMar>
        </w:tblPrEx>
        <w:trPr>
          <w:trHeight w:val="390" w:hRule="atLeast"/>
        </w:trPr>
        <w:tc>
          <w:tcPr>
            <w:tcW w:w="457" w:type="dxa"/>
            <w:vMerge w:val="restart"/>
            <w:tcBorders>
              <w:top w:val="single" w:color="000000" w:sz="4" w:space="0"/>
              <w:left w:val="single" w:color="000000" w:sz="4" w:space="0"/>
              <w:bottom w:val="single" w:color="000000" w:sz="4" w:space="0"/>
              <w:right w:val="single" w:color="000000" w:sz="4" w:space="0"/>
            </w:tcBorders>
            <w:vAlign w:val="center"/>
          </w:tcPr>
          <w:p w14:paraId="221DCB69">
            <w:pPr>
              <w:widowControl/>
              <w:spacing w:line="360" w:lineRule="exact"/>
              <w:jc w:val="center"/>
              <w:rPr>
                <w:rFonts w:hint="eastAsia" w:ascii="黑体" w:hAnsi="宋体" w:eastAsia="黑体" w:cs="宋体"/>
                <w:color w:val="000000"/>
                <w:kern w:val="0"/>
                <w:sz w:val="21"/>
                <w:szCs w:val="21"/>
              </w:rPr>
            </w:pPr>
            <w:r>
              <w:rPr>
                <w:rFonts w:hint="eastAsia" w:ascii="黑体" w:hAnsi="宋体" w:eastAsia="黑体" w:cs="宋体"/>
                <w:color w:val="000000"/>
                <w:kern w:val="0"/>
                <w:sz w:val="21"/>
                <w:szCs w:val="21"/>
              </w:rPr>
              <w:t>美化绿化</w:t>
            </w:r>
          </w:p>
        </w:tc>
        <w:tc>
          <w:tcPr>
            <w:tcW w:w="4400" w:type="dxa"/>
            <w:tcBorders>
              <w:top w:val="single" w:color="000000" w:sz="4" w:space="0"/>
              <w:left w:val="single" w:color="000000" w:sz="4" w:space="0"/>
              <w:bottom w:val="single" w:color="000000" w:sz="4" w:space="0"/>
              <w:right w:val="single" w:color="000000" w:sz="4" w:space="0"/>
            </w:tcBorders>
            <w:vAlign w:val="center"/>
          </w:tcPr>
          <w:p w14:paraId="1ED6A7F4">
            <w:pPr>
              <w:numPr>
                <w:ilvl w:val="0"/>
                <w:numId w:val="2"/>
              </w:numPr>
              <w:ind w:firstLine="418" w:firstLineChars="200"/>
              <w:rPr>
                <w:rFonts w:hint="eastAsia"/>
                <w:sz w:val="21"/>
                <w:szCs w:val="21"/>
              </w:rPr>
            </w:pPr>
            <w:r>
              <w:rPr>
                <w:rFonts w:hint="eastAsia"/>
                <w:sz w:val="21"/>
                <w:szCs w:val="21"/>
              </w:rPr>
              <w:t>实施进村入户主干道绿化工程，以三角梅、攀枝花凤凰花等交叉间种方式实施绿化，共需种植</w:t>
            </w:r>
            <w:r>
              <w:rPr>
                <w:rFonts w:hint="eastAsia"/>
                <w:sz w:val="21"/>
                <w:szCs w:val="21"/>
                <w:lang w:val="en-US" w:eastAsia="zh-CN"/>
              </w:rPr>
              <w:t>20</w:t>
            </w:r>
            <w:r>
              <w:rPr>
                <w:rFonts w:hint="eastAsia"/>
                <w:sz w:val="21"/>
                <w:szCs w:val="21"/>
              </w:rPr>
              <w:t>00棵，补助300元/棵，概算投资6</w:t>
            </w:r>
            <w:r>
              <w:rPr>
                <w:rFonts w:hint="eastAsia"/>
                <w:sz w:val="21"/>
                <w:szCs w:val="21"/>
                <w:lang w:val="en-US" w:eastAsia="zh-CN"/>
              </w:rPr>
              <w:t>0</w:t>
            </w:r>
            <w:r>
              <w:rPr>
                <w:rFonts w:hint="eastAsia"/>
                <w:sz w:val="21"/>
                <w:szCs w:val="21"/>
              </w:rPr>
              <w:t>万元.</w:t>
            </w:r>
            <w:r>
              <w:rPr>
                <w:rFonts w:hint="eastAsia"/>
                <w:sz w:val="21"/>
                <w:szCs w:val="21"/>
                <w:lang w:eastAsia="zh-CN"/>
              </w:rPr>
              <w:t>（</w:t>
            </w:r>
            <w:r>
              <w:rPr>
                <w:rFonts w:hint="eastAsia"/>
                <w:sz w:val="21"/>
                <w:szCs w:val="21"/>
                <w:lang w:val="en-US" w:eastAsia="zh-CN"/>
              </w:rPr>
              <w:t>3千米</w:t>
            </w:r>
            <w:r>
              <w:rPr>
                <w:rFonts w:hint="eastAsia"/>
                <w:sz w:val="21"/>
                <w:szCs w:val="21"/>
                <w:lang w:eastAsia="zh-CN"/>
              </w:rPr>
              <w:t>）</w:t>
            </w:r>
          </w:p>
        </w:tc>
        <w:tc>
          <w:tcPr>
            <w:tcW w:w="2010" w:type="dxa"/>
            <w:gridSpan w:val="2"/>
            <w:tcBorders>
              <w:top w:val="single" w:color="000000" w:sz="4" w:space="0"/>
              <w:left w:val="single" w:color="000000" w:sz="4" w:space="0"/>
              <w:bottom w:val="single" w:color="000000" w:sz="4" w:space="0"/>
              <w:right w:val="single" w:color="000000" w:sz="4" w:space="0"/>
            </w:tcBorders>
            <w:vAlign w:val="center"/>
          </w:tcPr>
          <w:p w14:paraId="06F22079">
            <w:pPr>
              <w:widowControl/>
              <w:spacing w:line="360" w:lineRule="exact"/>
              <w:jc w:val="center"/>
              <w:rPr>
                <w:rFonts w:hint="default" w:ascii="仿宋_GB2312" w:hAnsi="宋体" w:cs="宋体" w:eastAsiaTheme="minorEastAsia"/>
                <w:color w:val="000000"/>
                <w:kern w:val="0"/>
                <w:sz w:val="21"/>
                <w:szCs w:val="21"/>
                <w:lang w:val="en-US" w:eastAsia="zh-CN"/>
              </w:rPr>
            </w:pPr>
            <w:r>
              <w:rPr>
                <w:rFonts w:hint="eastAsia" w:ascii="仿宋_GB2312" w:hAnsi="宋体" w:cs="宋体"/>
                <w:color w:val="000000"/>
                <w:kern w:val="0"/>
                <w:sz w:val="21"/>
                <w:szCs w:val="21"/>
                <w:lang w:val="en-US" w:eastAsia="zh-CN"/>
              </w:rPr>
              <w:t>60万元</w:t>
            </w:r>
          </w:p>
        </w:tc>
        <w:tc>
          <w:tcPr>
            <w:tcW w:w="955" w:type="dxa"/>
            <w:tcBorders>
              <w:top w:val="single" w:color="000000" w:sz="4" w:space="0"/>
              <w:left w:val="single" w:color="000000" w:sz="4" w:space="0"/>
              <w:bottom w:val="single" w:color="000000" w:sz="4" w:space="0"/>
              <w:right w:val="single" w:color="000000" w:sz="4" w:space="0"/>
            </w:tcBorders>
            <w:vAlign w:val="center"/>
          </w:tcPr>
          <w:p w14:paraId="74E1DABF">
            <w:pPr>
              <w:widowControl/>
              <w:spacing w:line="36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14</w:t>
            </w:r>
          </w:p>
        </w:tc>
        <w:tc>
          <w:tcPr>
            <w:tcW w:w="1550" w:type="dxa"/>
            <w:tcBorders>
              <w:top w:val="single" w:color="000000" w:sz="4" w:space="0"/>
              <w:left w:val="single" w:color="000000" w:sz="4" w:space="0"/>
              <w:bottom w:val="single" w:color="000000" w:sz="4" w:space="0"/>
              <w:right w:val="single" w:color="000000" w:sz="4" w:space="0"/>
            </w:tcBorders>
            <w:vAlign w:val="center"/>
          </w:tcPr>
          <w:p w14:paraId="07052AFB">
            <w:pPr>
              <w:widowControl/>
              <w:spacing w:line="36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乡村振兴理事会</w:t>
            </w:r>
          </w:p>
        </w:tc>
      </w:tr>
      <w:tr w14:paraId="00F23EB4">
        <w:tblPrEx>
          <w:tblCellMar>
            <w:top w:w="15" w:type="dxa"/>
            <w:left w:w="108" w:type="dxa"/>
            <w:bottom w:w="15" w:type="dxa"/>
            <w:right w:w="108" w:type="dxa"/>
          </w:tblCellMar>
        </w:tblPrEx>
        <w:trPr>
          <w:trHeight w:val="645" w:hRule="atLeast"/>
        </w:trPr>
        <w:tc>
          <w:tcPr>
            <w:tcW w:w="457" w:type="dxa"/>
            <w:vMerge w:val="continue"/>
            <w:tcBorders>
              <w:top w:val="single" w:color="000000" w:sz="4" w:space="0"/>
              <w:left w:val="single" w:color="000000" w:sz="4" w:space="0"/>
              <w:bottom w:val="single" w:color="000000" w:sz="4" w:space="0"/>
              <w:right w:val="single" w:color="000000" w:sz="4" w:space="0"/>
            </w:tcBorders>
            <w:vAlign w:val="center"/>
          </w:tcPr>
          <w:p w14:paraId="21D6C8FA">
            <w:pPr>
              <w:widowControl/>
              <w:spacing w:line="360" w:lineRule="exact"/>
              <w:jc w:val="left"/>
              <w:rPr>
                <w:rFonts w:hint="eastAsia" w:ascii="仿宋_GB2312" w:hAnsi="宋体" w:cs="宋体"/>
                <w:color w:val="000000"/>
                <w:kern w:val="0"/>
                <w:sz w:val="21"/>
                <w:szCs w:val="21"/>
              </w:rPr>
            </w:pPr>
          </w:p>
        </w:tc>
        <w:tc>
          <w:tcPr>
            <w:tcW w:w="4400" w:type="dxa"/>
            <w:tcBorders>
              <w:top w:val="single" w:color="000000" w:sz="4" w:space="0"/>
              <w:left w:val="single" w:color="000000" w:sz="4" w:space="0"/>
              <w:bottom w:val="single" w:color="000000" w:sz="4" w:space="0"/>
              <w:right w:val="single" w:color="000000" w:sz="4" w:space="0"/>
            </w:tcBorders>
            <w:vAlign w:val="center"/>
          </w:tcPr>
          <w:p w14:paraId="4CE3124F">
            <w:pPr>
              <w:numPr>
                <w:ilvl w:val="0"/>
                <w:numId w:val="2"/>
              </w:numPr>
              <w:ind w:left="0" w:leftChars="0" w:firstLine="418" w:firstLineChars="200"/>
              <w:rPr>
                <w:rFonts w:hint="eastAsia"/>
                <w:sz w:val="21"/>
                <w:szCs w:val="21"/>
              </w:rPr>
            </w:pPr>
            <w:r>
              <w:rPr>
                <w:rFonts w:hint="eastAsia"/>
                <w:sz w:val="21"/>
                <w:szCs w:val="21"/>
              </w:rPr>
              <w:t>实施庭院绿化美化工程，每户农户庭院及周边至少种植10株本地果木，共需种植800棵，成活1棵补助100元，概算投资8万元</w:t>
            </w:r>
          </w:p>
          <w:p w14:paraId="5F1467DA">
            <w:pPr>
              <w:numPr>
                <w:ilvl w:val="0"/>
                <w:numId w:val="0"/>
              </w:numPr>
              <w:ind w:leftChars="200"/>
              <w:rPr>
                <w:rFonts w:hint="eastAsia"/>
                <w:sz w:val="21"/>
                <w:szCs w:val="21"/>
              </w:rPr>
            </w:pPr>
          </w:p>
          <w:p w14:paraId="02898C0C">
            <w:pPr>
              <w:widowControl/>
              <w:spacing w:line="360" w:lineRule="exact"/>
              <w:jc w:val="left"/>
              <w:rPr>
                <w:rFonts w:ascii="仿宋_GB2312" w:hAnsi="宋体" w:cs="宋体"/>
                <w:color w:val="000000"/>
                <w:kern w:val="0"/>
                <w:sz w:val="21"/>
                <w:szCs w:val="21"/>
              </w:rPr>
            </w:pPr>
          </w:p>
        </w:tc>
        <w:tc>
          <w:tcPr>
            <w:tcW w:w="2010" w:type="dxa"/>
            <w:gridSpan w:val="2"/>
            <w:tcBorders>
              <w:top w:val="single" w:color="000000" w:sz="4" w:space="0"/>
              <w:left w:val="single" w:color="000000" w:sz="4" w:space="0"/>
              <w:bottom w:val="single" w:color="000000" w:sz="4" w:space="0"/>
              <w:right w:val="single" w:color="000000" w:sz="4" w:space="0"/>
            </w:tcBorders>
            <w:vAlign w:val="center"/>
          </w:tcPr>
          <w:p w14:paraId="305932E4">
            <w:pPr>
              <w:widowControl/>
              <w:spacing w:line="360" w:lineRule="exact"/>
              <w:jc w:val="center"/>
              <w:rPr>
                <w:rFonts w:hint="eastAsia" w:ascii="仿宋_GB2312" w:hAnsi="宋体" w:cs="宋体" w:eastAsiaTheme="minorEastAsia"/>
                <w:color w:val="000000"/>
                <w:kern w:val="0"/>
                <w:sz w:val="21"/>
                <w:szCs w:val="21"/>
                <w:lang w:val="en-US" w:eastAsia="zh-CN"/>
              </w:rPr>
            </w:pPr>
            <w:r>
              <w:rPr>
                <w:rFonts w:hint="eastAsia" w:ascii="仿宋_GB2312" w:hAnsi="宋体" w:cs="宋体"/>
                <w:color w:val="000000"/>
                <w:kern w:val="0"/>
                <w:sz w:val="21"/>
                <w:szCs w:val="21"/>
                <w:lang w:val="en-US" w:eastAsia="zh-CN"/>
              </w:rPr>
              <w:t>8万元</w:t>
            </w:r>
          </w:p>
        </w:tc>
        <w:tc>
          <w:tcPr>
            <w:tcW w:w="955" w:type="dxa"/>
            <w:tcBorders>
              <w:top w:val="single" w:color="000000" w:sz="4" w:space="0"/>
              <w:left w:val="single" w:color="000000" w:sz="4" w:space="0"/>
              <w:bottom w:val="single" w:color="000000" w:sz="4" w:space="0"/>
              <w:right w:val="single" w:color="000000" w:sz="4" w:space="0"/>
            </w:tcBorders>
            <w:vAlign w:val="center"/>
          </w:tcPr>
          <w:p w14:paraId="7FA8BB86">
            <w:pPr>
              <w:widowControl/>
              <w:spacing w:line="360" w:lineRule="exact"/>
              <w:jc w:val="center"/>
              <w:rPr>
                <w:rFonts w:hint="eastAsia" w:ascii="仿宋_GB2312" w:hAnsi="宋体" w:cs="宋体"/>
                <w:color w:val="000000"/>
                <w:kern w:val="0"/>
                <w:sz w:val="21"/>
                <w:szCs w:val="21"/>
              </w:rPr>
            </w:pPr>
          </w:p>
        </w:tc>
        <w:tc>
          <w:tcPr>
            <w:tcW w:w="1550" w:type="dxa"/>
            <w:tcBorders>
              <w:top w:val="single" w:color="000000" w:sz="4" w:space="0"/>
              <w:left w:val="single" w:color="000000" w:sz="4" w:space="0"/>
              <w:bottom w:val="single" w:color="000000" w:sz="4" w:space="0"/>
              <w:right w:val="single" w:color="000000" w:sz="4" w:space="0"/>
            </w:tcBorders>
            <w:vAlign w:val="center"/>
          </w:tcPr>
          <w:p w14:paraId="6BF0475A">
            <w:pPr>
              <w:widowControl/>
              <w:spacing w:line="36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乡村振兴理事会</w:t>
            </w:r>
          </w:p>
        </w:tc>
      </w:tr>
      <w:tr w14:paraId="65E6ADC4">
        <w:tblPrEx>
          <w:tblCellMar>
            <w:top w:w="15" w:type="dxa"/>
            <w:left w:w="108" w:type="dxa"/>
            <w:bottom w:w="15" w:type="dxa"/>
            <w:right w:w="108" w:type="dxa"/>
          </w:tblCellMar>
        </w:tblPrEx>
        <w:trPr>
          <w:trHeight w:val="615" w:hRule="atLeast"/>
        </w:trPr>
        <w:tc>
          <w:tcPr>
            <w:tcW w:w="457" w:type="dxa"/>
            <w:tcBorders>
              <w:top w:val="single" w:color="000000" w:sz="4" w:space="0"/>
              <w:left w:val="single" w:color="000000" w:sz="4" w:space="0"/>
              <w:bottom w:val="single" w:color="000000" w:sz="4" w:space="0"/>
              <w:right w:val="single" w:color="000000" w:sz="4" w:space="0"/>
            </w:tcBorders>
            <w:vAlign w:val="center"/>
          </w:tcPr>
          <w:p w14:paraId="68D3E9FF">
            <w:pPr>
              <w:widowControl/>
              <w:spacing w:line="360" w:lineRule="exact"/>
              <w:jc w:val="center"/>
              <w:rPr>
                <w:rFonts w:hint="eastAsia" w:ascii="黑体" w:hAnsi="宋体" w:eastAsia="黑体" w:cs="宋体"/>
                <w:color w:val="000000"/>
                <w:kern w:val="0"/>
                <w:sz w:val="21"/>
                <w:szCs w:val="21"/>
              </w:rPr>
            </w:pPr>
            <w:r>
              <w:rPr>
                <w:rFonts w:hint="eastAsia" w:ascii="黑体" w:hAnsi="宋体" w:eastAsia="黑体" w:cs="宋体"/>
                <w:color w:val="000000"/>
                <w:kern w:val="0"/>
                <w:sz w:val="21"/>
                <w:szCs w:val="21"/>
              </w:rPr>
              <w:t>用地规划</w:t>
            </w:r>
          </w:p>
        </w:tc>
        <w:tc>
          <w:tcPr>
            <w:tcW w:w="4400" w:type="dxa"/>
            <w:tcBorders>
              <w:top w:val="single" w:color="000000" w:sz="4" w:space="0"/>
              <w:left w:val="single" w:color="000000" w:sz="4" w:space="0"/>
              <w:bottom w:val="single" w:color="000000" w:sz="4" w:space="0"/>
              <w:right w:val="single" w:color="000000" w:sz="4" w:space="0"/>
            </w:tcBorders>
            <w:vAlign w:val="center"/>
          </w:tcPr>
          <w:p w14:paraId="68E94BE0">
            <w:pPr>
              <w:ind w:left="418" w:leftChars="200" w:firstLine="209" w:firstLineChars="100"/>
              <w:rPr>
                <w:rFonts w:hint="default" w:eastAsiaTheme="minorEastAsia"/>
                <w:sz w:val="21"/>
                <w:szCs w:val="21"/>
                <w:lang w:val="en-US" w:eastAsia="zh-CN"/>
              </w:rPr>
            </w:pPr>
            <w:r>
              <w:rPr>
                <w:rFonts w:hint="eastAsia"/>
                <w:sz w:val="21"/>
                <w:szCs w:val="21"/>
              </w:rPr>
              <w:t>划定村庄建设边界，预留新增民居扩容建设用地</w:t>
            </w:r>
            <w:r>
              <w:rPr>
                <w:rFonts w:hint="eastAsia"/>
                <w:sz w:val="21"/>
                <w:szCs w:val="21"/>
                <w:lang w:eastAsia="zh-CN"/>
              </w:rPr>
              <w:t>教堂上边</w:t>
            </w:r>
            <w:r>
              <w:rPr>
                <w:rFonts w:hint="eastAsia"/>
                <w:sz w:val="21"/>
                <w:szCs w:val="21"/>
              </w:rPr>
              <w:t>5亩</w:t>
            </w:r>
            <w:r>
              <w:rPr>
                <w:rFonts w:hint="eastAsia"/>
                <w:sz w:val="21"/>
                <w:szCs w:val="21"/>
                <w:lang w:eastAsia="zh-CN"/>
              </w:rPr>
              <w:t>，六组老学校上方</w:t>
            </w:r>
            <w:r>
              <w:rPr>
                <w:rFonts w:hint="eastAsia"/>
                <w:sz w:val="21"/>
                <w:szCs w:val="21"/>
                <w:lang w:val="en-US" w:eastAsia="zh-CN"/>
              </w:rPr>
              <w:t>30亩；</w:t>
            </w:r>
            <w:r>
              <w:rPr>
                <w:rFonts w:hint="eastAsia"/>
                <w:sz w:val="21"/>
                <w:szCs w:val="21"/>
                <w:lang w:eastAsia="zh-CN"/>
              </w:rPr>
              <w:t>养殖小区（寨子下边）</w:t>
            </w:r>
            <w:r>
              <w:rPr>
                <w:rFonts w:hint="eastAsia"/>
                <w:sz w:val="21"/>
                <w:szCs w:val="21"/>
                <w:lang w:val="en-US" w:eastAsia="zh-CN"/>
              </w:rPr>
              <w:t>5亩。</w:t>
            </w:r>
          </w:p>
          <w:p w14:paraId="3945B6D5">
            <w:pPr>
              <w:widowControl/>
              <w:spacing w:line="360" w:lineRule="exact"/>
              <w:jc w:val="left"/>
              <w:rPr>
                <w:rFonts w:hint="eastAsia" w:ascii="仿宋_GB2312" w:hAnsi="宋体" w:eastAsia="宋体" w:cs="宋体"/>
                <w:color w:val="000000"/>
                <w:kern w:val="0"/>
                <w:sz w:val="21"/>
                <w:szCs w:val="21"/>
                <w:lang w:eastAsia="zh-CN"/>
              </w:rPr>
            </w:pPr>
          </w:p>
          <w:p w14:paraId="4307005B">
            <w:pPr>
              <w:widowControl/>
              <w:spacing w:line="360" w:lineRule="exact"/>
              <w:jc w:val="left"/>
              <w:rPr>
                <w:rFonts w:hint="eastAsia" w:ascii="仿宋_GB2312" w:hAnsi="宋体" w:eastAsia="宋体" w:cs="宋体"/>
                <w:color w:val="000000"/>
                <w:kern w:val="0"/>
                <w:sz w:val="21"/>
                <w:szCs w:val="21"/>
                <w:lang w:eastAsia="zh-CN"/>
              </w:rPr>
            </w:pPr>
          </w:p>
        </w:tc>
        <w:tc>
          <w:tcPr>
            <w:tcW w:w="2010" w:type="dxa"/>
            <w:gridSpan w:val="2"/>
            <w:tcBorders>
              <w:top w:val="single" w:color="000000" w:sz="4" w:space="0"/>
              <w:left w:val="single" w:color="000000" w:sz="4" w:space="0"/>
              <w:bottom w:val="single" w:color="000000" w:sz="4" w:space="0"/>
              <w:right w:val="single" w:color="000000" w:sz="4" w:space="0"/>
            </w:tcBorders>
            <w:vAlign w:val="center"/>
          </w:tcPr>
          <w:p w14:paraId="794B9BDC">
            <w:pPr>
              <w:widowControl/>
              <w:spacing w:line="360" w:lineRule="exact"/>
              <w:jc w:val="center"/>
              <w:rPr>
                <w:rFonts w:hint="eastAsia" w:ascii="仿宋_GB2312" w:hAnsi="宋体" w:cs="宋体"/>
                <w:color w:val="000000"/>
                <w:kern w:val="0"/>
                <w:sz w:val="21"/>
                <w:szCs w:val="21"/>
              </w:rPr>
            </w:pPr>
          </w:p>
        </w:tc>
        <w:tc>
          <w:tcPr>
            <w:tcW w:w="955" w:type="dxa"/>
            <w:tcBorders>
              <w:top w:val="single" w:color="000000" w:sz="4" w:space="0"/>
              <w:left w:val="single" w:color="000000" w:sz="4" w:space="0"/>
              <w:bottom w:val="single" w:color="000000" w:sz="4" w:space="0"/>
              <w:right w:val="single" w:color="000000" w:sz="4" w:space="0"/>
            </w:tcBorders>
            <w:vAlign w:val="center"/>
          </w:tcPr>
          <w:p w14:paraId="3AB976B1">
            <w:pPr>
              <w:widowControl/>
              <w:spacing w:line="360" w:lineRule="exact"/>
              <w:jc w:val="center"/>
              <w:rPr>
                <w:rFonts w:hint="eastAsia" w:ascii="仿宋_GB2312" w:hAnsi="宋体" w:cs="宋体"/>
                <w:color w:val="000000"/>
                <w:kern w:val="0"/>
                <w:sz w:val="21"/>
                <w:szCs w:val="21"/>
              </w:rPr>
            </w:pPr>
          </w:p>
        </w:tc>
        <w:tc>
          <w:tcPr>
            <w:tcW w:w="1550" w:type="dxa"/>
            <w:tcBorders>
              <w:top w:val="single" w:color="000000" w:sz="4" w:space="0"/>
              <w:left w:val="single" w:color="000000" w:sz="4" w:space="0"/>
              <w:bottom w:val="single" w:color="000000" w:sz="4" w:space="0"/>
              <w:right w:val="single" w:color="000000" w:sz="4" w:space="0"/>
            </w:tcBorders>
            <w:vAlign w:val="center"/>
          </w:tcPr>
          <w:p w14:paraId="3798F6E3">
            <w:pPr>
              <w:widowControl/>
              <w:spacing w:line="36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乡村振兴理事会</w:t>
            </w:r>
          </w:p>
        </w:tc>
      </w:tr>
      <w:tr w14:paraId="46349A03">
        <w:tblPrEx>
          <w:tblCellMar>
            <w:top w:w="15" w:type="dxa"/>
            <w:left w:w="108" w:type="dxa"/>
            <w:bottom w:w="15" w:type="dxa"/>
            <w:right w:w="108" w:type="dxa"/>
          </w:tblCellMar>
        </w:tblPrEx>
        <w:trPr>
          <w:trHeight w:val="525" w:hRule="atLeast"/>
        </w:trPr>
        <w:tc>
          <w:tcPr>
            <w:tcW w:w="457" w:type="dxa"/>
            <w:tcBorders>
              <w:top w:val="single" w:color="000000" w:sz="4" w:space="0"/>
              <w:left w:val="single" w:color="000000" w:sz="4" w:space="0"/>
              <w:bottom w:val="single" w:color="000000" w:sz="4" w:space="0"/>
              <w:right w:val="single" w:color="000000" w:sz="4" w:space="0"/>
            </w:tcBorders>
            <w:vAlign w:val="center"/>
          </w:tcPr>
          <w:p w14:paraId="42FF4DD1">
            <w:pPr>
              <w:widowControl/>
              <w:spacing w:line="360" w:lineRule="exact"/>
              <w:jc w:val="center"/>
              <w:rPr>
                <w:rFonts w:hint="eastAsia" w:ascii="黑体" w:hAnsi="宋体" w:eastAsia="黑体" w:cs="宋体"/>
                <w:color w:val="000000"/>
                <w:kern w:val="0"/>
                <w:sz w:val="21"/>
                <w:szCs w:val="21"/>
              </w:rPr>
            </w:pPr>
            <w:r>
              <w:rPr>
                <w:rFonts w:hint="eastAsia" w:ascii="黑体" w:hAnsi="宋体" w:eastAsia="黑体" w:cs="宋体"/>
                <w:color w:val="000000"/>
                <w:kern w:val="0"/>
                <w:sz w:val="21"/>
                <w:szCs w:val="21"/>
              </w:rPr>
              <w:t>总计</w:t>
            </w:r>
          </w:p>
        </w:tc>
        <w:tc>
          <w:tcPr>
            <w:tcW w:w="4400" w:type="dxa"/>
            <w:tcBorders>
              <w:top w:val="single" w:color="000000" w:sz="4" w:space="0"/>
              <w:left w:val="single" w:color="000000" w:sz="4" w:space="0"/>
              <w:bottom w:val="single" w:color="000000" w:sz="4" w:space="0"/>
              <w:right w:val="single" w:color="000000" w:sz="4" w:space="0"/>
            </w:tcBorders>
            <w:vAlign w:val="center"/>
          </w:tcPr>
          <w:p w14:paraId="101AC14D">
            <w:pPr>
              <w:widowControl/>
              <w:spacing w:line="360" w:lineRule="exact"/>
              <w:jc w:val="left"/>
              <w:rPr>
                <w:rFonts w:hint="eastAsia" w:ascii="仿宋_GB2312" w:hAnsi="宋体" w:cs="宋体"/>
                <w:color w:val="000000"/>
                <w:kern w:val="0"/>
                <w:sz w:val="21"/>
                <w:szCs w:val="21"/>
              </w:rPr>
            </w:pPr>
          </w:p>
        </w:tc>
        <w:tc>
          <w:tcPr>
            <w:tcW w:w="2010" w:type="dxa"/>
            <w:gridSpan w:val="2"/>
            <w:tcBorders>
              <w:top w:val="single" w:color="000000" w:sz="4" w:space="0"/>
              <w:left w:val="single" w:color="000000" w:sz="4" w:space="0"/>
              <w:bottom w:val="single" w:color="000000" w:sz="4" w:space="0"/>
              <w:right w:val="single" w:color="000000" w:sz="4" w:space="0"/>
            </w:tcBorders>
            <w:vAlign w:val="center"/>
          </w:tcPr>
          <w:p w14:paraId="36CC85E9">
            <w:pPr>
              <w:widowControl/>
              <w:spacing w:line="360" w:lineRule="exact"/>
              <w:jc w:val="both"/>
              <w:rPr>
                <w:rFonts w:hint="eastAsia" w:ascii="仿宋_GB2312" w:hAnsi="宋体" w:cs="宋体"/>
                <w:color w:val="000000"/>
                <w:kern w:val="0"/>
                <w:sz w:val="21"/>
                <w:szCs w:val="21"/>
              </w:rPr>
            </w:pPr>
          </w:p>
        </w:tc>
        <w:tc>
          <w:tcPr>
            <w:tcW w:w="955" w:type="dxa"/>
            <w:tcBorders>
              <w:top w:val="single" w:color="000000" w:sz="4" w:space="0"/>
              <w:left w:val="single" w:color="000000" w:sz="4" w:space="0"/>
              <w:bottom w:val="single" w:color="000000" w:sz="4" w:space="0"/>
              <w:right w:val="single" w:color="000000" w:sz="4" w:space="0"/>
            </w:tcBorders>
            <w:vAlign w:val="center"/>
          </w:tcPr>
          <w:p w14:paraId="74EF0918">
            <w:pPr>
              <w:widowControl/>
              <w:spacing w:line="360" w:lineRule="exact"/>
              <w:jc w:val="both"/>
              <w:rPr>
                <w:rFonts w:hint="eastAsia" w:ascii="仿宋_GB2312" w:hAnsi="宋体" w:cs="宋体"/>
                <w:color w:val="000000"/>
                <w:kern w:val="0"/>
                <w:sz w:val="21"/>
                <w:szCs w:val="21"/>
              </w:rPr>
            </w:pPr>
          </w:p>
        </w:tc>
        <w:tc>
          <w:tcPr>
            <w:tcW w:w="1550" w:type="dxa"/>
            <w:tcBorders>
              <w:top w:val="single" w:color="000000" w:sz="4" w:space="0"/>
              <w:left w:val="single" w:color="000000" w:sz="4" w:space="0"/>
              <w:bottom w:val="single" w:color="000000" w:sz="4" w:space="0"/>
              <w:right w:val="single" w:color="000000" w:sz="4" w:space="0"/>
            </w:tcBorders>
            <w:vAlign w:val="center"/>
          </w:tcPr>
          <w:p w14:paraId="316FEDA4">
            <w:pPr>
              <w:widowControl/>
              <w:spacing w:line="360" w:lineRule="exact"/>
              <w:jc w:val="left"/>
              <w:rPr>
                <w:rFonts w:hint="eastAsia" w:ascii="仿宋_GB2312" w:hAnsi="宋体" w:cs="宋体"/>
                <w:color w:val="000000"/>
                <w:kern w:val="0"/>
                <w:sz w:val="21"/>
                <w:szCs w:val="21"/>
              </w:rPr>
            </w:pPr>
          </w:p>
        </w:tc>
      </w:tr>
      <w:tr w14:paraId="7E772F96">
        <w:tblPrEx>
          <w:tblCellMar>
            <w:top w:w="15" w:type="dxa"/>
            <w:left w:w="108" w:type="dxa"/>
            <w:bottom w:w="15" w:type="dxa"/>
            <w:right w:w="108" w:type="dxa"/>
          </w:tblCellMar>
        </w:tblPrEx>
        <w:trPr>
          <w:trHeight w:val="525" w:hRule="atLeast"/>
        </w:trPr>
        <w:tc>
          <w:tcPr>
            <w:tcW w:w="457" w:type="dxa"/>
            <w:tcBorders>
              <w:top w:val="single" w:color="000000" w:sz="4" w:space="0"/>
              <w:left w:val="single" w:color="000000" w:sz="4" w:space="0"/>
              <w:bottom w:val="single" w:color="000000" w:sz="4" w:space="0"/>
              <w:right w:val="single" w:color="000000" w:sz="4" w:space="0"/>
            </w:tcBorders>
            <w:vAlign w:val="center"/>
          </w:tcPr>
          <w:p w14:paraId="7B7B005B">
            <w:pPr>
              <w:widowControl/>
              <w:spacing w:line="360" w:lineRule="exact"/>
              <w:jc w:val="center"/>
              <w:rPr>
                <w:rFonts w:hint="eastAsia" w:ascii="黑体" w:hAnsi="宋体" w:eastAsia="黑体" w:cs="宋体"/>
                <w:color w:val="000000"/>
                <w:kern w:val="0"/>
                <w:sz w:val="21"/>
                <w:szCs w:val="21"/>
              </w:rPr>
            </w:pPr>
          </w:p>
        </w:tc>
        <w:tc>
          <w:tcPr>
            <w:tcW w:w="4400" w:type="dxa"/>
            <w:tcBorders>
              <w:top w:val="single" w:color="000000" w:sz="4" w:space="0"/>
              <w:left w:val="single" w:color="000000" w:sz="4" w:space="0"/>
              <w:bottom w:val="single" w:color="000000" w:sz="4" w:space="0"/>
              <w:right w:val="single" w:color="000000" w:sz="4" w:space="0"/>
            </w:tcBorders>
            <w:vAlign w:val="center"/>
          </w:tcPr>
          <w:p w14:paraId="1181E7B9">
            <w:pPr>
              <w:widowControl/>
              <w:spacing w:line="360" w:lineRule="exact"/>
              <w:jc w:val="left"/>
              <w:rPr>
                <w:rFonts w:hint="eastAsia" w:ascii="仿宋_GB2312" w:hAnsi="宋体" w:cs="宋体"/>
                <w:color w:val="000000"/>
                <w:kern w:val="0"/>
                <w:sz w:val="21"/>
                <w:szCs w:val="21"/>
              </w:rPr>
            </w:pPr>
          </w:p>
        </w:tc>
        <w:tc>
          <w:tcPr>
            <w:tcW w:w="2010" w:type="dxa"/>
            <w:gridSpan w:val="2"/>
            <w:tcBorders>
              <w:top w:val="single" w:color="000000" w:sz="4" w:space="0"/>
              <w:left w:val="single" w:color="000000" w:sz="4" w:space="0"/>
              <w:bottom w:val="single" w:color="000000" w:sz="4" w:space="0"/>
              <w:right w:val="single" w:color="000000" w:sz="4" w:space="0"/>
            </w:tcBorders>
            <w:vAlign w:val="center"/>
          </w:tcPr>
          <w:p w14:paraId="144FAD59">
            <w:pPr>
              <w:widowControl/>
              <w:spacing w:line="360" w:lineRule="exact"/>
              <w:jc w:val="both"/>
              <w:rPr>
                <w:rFonts w:hint="eastAsia" w:ascii="仿宋_GB2312" w:hAnsi="宋体" w:cs="宋体"/>
                <w:color w:val="000000"/>
                <w:kern w:val="0"/>
                <w:sz w:val="21"/>
                <w:szCs w:val="21"/>
              </w:rPr>
            </w:pPr>
          </w:p>
        </w:tc>
        <w:tc>
          <w:tcPr>
            <w:tcW w:w="955" w:type="dxa"/>
            <w:tcBorders>
              <w:top w:val="single" w:color="000000" w:sz="4" w:space="0"/>
              <w:left w:val="single" w:color="000000" w:sz="4" w:space="0"/>
              <w:bottom w:val="single" w:color="000000" w:sz="4" w:space="0"/>
              <w:right w:val="single" w:color="000000" w:sz="4" w:space="0"/>
            </w:tcBorders>
            <w:vAlign w:val="center"/>
          </w:tcPr>
          <w:p w14:paraId="660D7E19">
            <w:pPr>
              <w:widowControl/>
              <w:spacing w:line="360" w:lineRule="exact"/>
              <w:jc w:val="both"/>
              <w:rPr>
                <w:rFonts w:hint="eastAsia" w:ascii="仿宋_GB2312" w:hAnsi="宋体" w:cs="宋体"/>
                <w:color w:val="000000"/>
                <w:kern w:val="0"/>
                <w:sz w:val="21"/>
                <w:szCs w:val="21"/>
              </w:rPr>
            </w:pPr>
          </w:p>
        </w:tc>
        <w:tc>
          <w:tcPr>
            <w:tcW w:w="1550" w:type="dxa"/>
            <w:tcBorders>
              <w:top w:val="single" w:color="000000" w:sz="4" w:space="0"/>
              <w:left w:val="single" w:color="000000" w:sz="4" w:space="0"/>
              <w:bottom w:val="single" w:color="000000" w:sz="4" w:space="0"/>
              <w:right w:val="single" w:color="000000" w:sz="4" w:space="0"/>
            </w:tcBorders>
            <w:vAlign w:val="center"/>
          </w:tcPr>
          <w:p w14:paraId="693A69B0">
            <w:pPr>
              <w:widowControl/>
              <w:spacing w:line="360" w:lineRule="exact"/>
              <w:jc w:val="left"/>
              <w:rPr>
                <w:rFonts w:hint="eastAsia" w:ascii="仿宋_GB2312" w:hAnsi="宋体" w:cs="宋体"/>
                <w:color w:val="000000"/>
                <w:kern w:val="0"/>
                <w:sz w:val="21"/>
                <w:szCs w:val="21"/>
              </w:rPr>
            </w:pPr>
          </w:p>
        </w:tc>
      </w:tr>
    </w:tbl>
    <w:p w14:paraId="739EF4CC">
      <w:pPr>
        <w:spacing w:line="540" w:lineRule="exact"/>
        <w:ind w:firstLine="2543" w:firstLineChars="1217"/>
        <w:rPr>
          <w:rFonts w:hint="eastAsia" w:cs="仿宋_GB2312"/>
          <w:lang w:bidi="ar"/>
        </w:rPr>
      </w:pPr>
    </w:p>
    <w:p w14:paraId="7A4A5445">
      <w:pPr>
        <w:spacing w:line="540" w:lineRule="exact"/>
        <w:ind w:firstLine="2543" w:firstLineChars="1217"/>
        <w:rPr>
          <w:rFonts w:hint="eastAsia" w:cs="仿宋_GB2312"/>
          <w:lang w:bidi="ar"/>
        </w:rPr>
      </w:pPr>
    </w:p>
    <w:p w14:paraId="5CD56F5C">
      <w:pPr>
        <w:spacing w:line="540" w:lineRule="exact"/>
        <w:ind w:firstLine="2543" w:firstLineChars="1217"/>
        <w:rPr>
          <w:rFonts w:hint="eastAsia" w:cs="仿宋_GB2312"/>
          <w:lang w:bidi="ar"/>
        </w:rPr>
      </w:pPr>
    </w:p>
    <w:p w14:paraId="3CB71C7C">
      <w:pPr>
        <w:overflowPunct w:val="0"/>
        <w:spacing w:line="540" w:lineRule="exact"/>
        <w:rPr>
          <w:rFonts w:hint="eastAsia" w:ascii="黑体" w:hAnsi="黑体" w:eastAsia="黑体" w:cs="宋体"/>
        </w:rPr>
      </w:pPr>
    </w:p>
    <w:p w14:paraId="745180A8">
      <w:pPr>
        <w:overflowPunct w:val="0"/>
        <w:spacing w:line="540" w:lineRule="exact"/>
        <w:jc w:val="center"/>
        <w:rPr>
          <w:rFonts w:hint="eastAsia" w:ascii="黑体" w:hAnsi="黑体" w:eastAsia="黑体" w:cs="黑体"/>
          <w:sz w:val="44"/>
          <w:szCs w:val="44"/>
        </w:rPr>
      </w:pPr>
    </w:p>
    <w:p w14:paraId="51A7DB3E">
      <w:pPr>
        <w:rPr>
          <w:rFonts w:hint="eastAsia" w:ascii="仿宋_GB2312" w:hAnsi="仿宋_GB2312" w:cs="仿宋_GB2312"/>
        </w:rPr>
      </w:pPr>
    </w:p>
    <w:p w14:paraId="57C81656">
      <w:pPr>
        <w:rPr>
          <w:rFonts w:hint="eastAsia" w:ascii="仿宋_GB2312" w:hAnsi="仿宋_GB2312" w:cs="仿宋_GB2312"/>
        </w:rPr>
      </w:pPr>
    </w:p>
    <w:p w14:paraId="2598018F">
      <w:pPr>
        <w:rPr>
          <w:rFonts w:hint="eastAsia" w:ascii="仿宋_GB2312" w:hAnsi="仿宋_GB2312" w:cs="仿宋_GB2312"/>
        </w:rPr>
      </w:pPr>
    </w:p>
    <w:p w14:paraId="3E281510">
      <w:pPr>
        <w:rPr>
          <w:rFonts w:hint="eastAsia" w:ascii="仿宋_GB2312" w:hAnsi="仿宋_GB2312" w:cs="仿宋_GB2312"/>
        </w:rPr>
      </w:pPr>
    </w:p>
    <w:p w14:paraId="5FB78BF5">
      <w:pPr>
        <w:rPr>
          <w:rFonts w:hint="eastAsia" w:ascii="仿宋_GB2312" w:hAnsi="仿宋_GB2312" w:cs="仿宋_GB2312"/>
        </w:rPr>
      </w:pPr>
    </w:p>
    <w:p w14:paraId="4F580DA4">
      <w:pPr>
        <w:rPr>
          <w:rFonts w:hint="eastAsia" w:ascii="仿宋_GB2312" w:hAnsi="仿宋_GB2312" w:cs="仿宋_GB2312"/>
        </w:rPr>
      </w:pPr>
    </w:p>
    <w:p w14:paraId="4E6FDCD7">
      <w:pPr>
        <w:rPr>
          <w:rFonts w:hint="eastAsia" w:ascii="仿宋_GB2312" w:hAnsi="仿宋_GB2312" w:cs="仿宋_GB2312"/>
        </w:rPr>
      </w:pPr>
    </w:p>
    <w:p w14:paraId="10E3A35F">
      <w:pPr>
        <w:rPr>
          <w:rFonts w:hint="eastAsia" w:ascii="仿宋_GB2312" w:hAnsi="仿宋_GB2312" w:cs="仿宋_GB2312"/>
        </w:rPr>
      </w:pPr>
    </w:p>
    <w:p w14:paraId="5CA68410">
      <w:pPr>
        <w:rPr>
          <w:rFonts w:hint="eastAsia" w:ascii="仿宋_GB2312" w:hAnsi="仿宋_GB2312" w:cs="仿宋_GB2312"/>
        </w:rPr>
      </w:pPr>
    </w:p>
    <w:p w14:paraId="6019C7ED">
      <w:pPr>
        <w:rPr>
          <w:rFonts w:hint="eastAsia" w:ascii="仿宋_GB2312" w:hAnsi="仿宋_GB2312" w:cs="仿宋_GB2312"/>
        </w:rPr>
      </w:pPr>
    </w:p>
    <w:p w14:paraId="2E567FF5">
      <w:pPr>
        <w:keepNext w:val="0"/>
        <w:keepLines w:val="0"/>
        <w:pageBreakBefore w:val="0"/>
        <w:widowControl w:val="0"/>
        <w:kinsoku w:val="0"/>
        <w:wordWrap/>
        <w:overflowPunct w:val="0"/>
        <w:topLinePunct w:val="0"/>
        <w:autoSpaceDE/>
        <w:autoSpaceDN/>
        <w:bidi w:val="0"/>
        <w:adjustRightInd/>
        <w:snapToGrid/>
        <w:spacing w:before="0" w:beforeLines="0" w:after="0" w:afterLines="0" w:line="430" w:lineRule="exact"/>
        <w:ind w:left="0" w:leftChars="0" w:right="-104" w:rightChars="-50" w:firstLine="3512" w:firstLineChars="800"/>
        <w:jc w:val="left"/>
        <w:textAlignment w:val="auto"/>
        <w:outlineLvl w:val="9"/>
        <w:rPr>
          <w:rFonts w:hint="eastAsia" w:ascii="方正小标宋简体" w:hAnsi="方正小标宋简体" w:eastAsia="方正小标宋简体" w:cs="方正小标宋简体"/>
          <w:b/>
          <w:bCs/>
          <w:sz w:val="44"/>
          <w:szCs w:val="44"/>
          <w:lang w:eastAsia="zh-CN"/>
        </w:rPr>
      </w:pPr>
    </w:p>
    <w:p w14:paraId="1AFAABC4">
      <w:pPr>
        <w:keepNext w:val="0"/>
        <w:keepLines w:val="0"/>
        <w:pageBreakBefore w:val="0"/>
        <w:widowControl w:val="0"/>
        <w:kinsoku w:val="0"/>
        <w:wordWrap/>
        <w:overflowPunct w:val="0"/>
        <w:topLinePunct w:val="0"/>
        <w:autoSpaceDE/>
        <w:autoSpaceDN/>
        <w:bidi w:val="0"/>
        <w:adjustRightInd/>
        <w:snapToGrid/>
        <w:spacing w:before="0" w:beforeLines="0" w:after="0" w:afterLines="0" w:line="430" w:lineRule="exact"/>
        <w:ind w:left="0" w:leftChars="0" w:right="-104" w:rightChars="-50" w:firstLine="3512" w:firstLineChars="800"/>
        <w:jc w:val="left"/>
        <w:textAlignment w:val="auto"/>
        <w:outlineLvl w:val="9"/>
        <w:rPr>
          <w:rFonts w:hint="eastAsia" w:ascii="方正小标宋简体" w:hAnsi="方正小标宋简体" w:eastAsia="方正小标宋简体" w:cs="方正小标宋简体"/>
          <w:b/>
          <w:bCs/>
          <w:sz w:val="44"/>
          <w:szCs w:val="44"/>
          <w:lang w:eastAsia="zh-CN"/>
        </w:rPr>
      </w:pPr>
    </w:p>
    <w:p w14:paraId="7B3ECB73">
      <w:pPr>
        <w:keepNext w:val="0"/>
        <w:keepLines w:val="0"/>
        <w:pageBreakBefore w:val="0"/>
        <w:widowControl w:val="0"/>
        <w:kinsoku w:val="0"/>
        <w:wordWrap/>
        <w:overflowPunct w:val="0"/>
        <w:topLinePunct w:val="0"/>
        <w:autoSpaceDE/>
        <w:autoSpaceDN/>
        <w:bidi w:val="0"/>
        <w:adjustRightInd/>
        <w:snapToGrid/>
        <w:spacing w:before="0" w:beforeLines="0" w:after="0" w:afterLines="0" w:line="430" w:lineRule="exact"/>
        <w:ind w:left="0" w:leftChars="0" w:right="-104" w:rightChars="-50" w:firstLine="3512" w:firstLineChars="800"/>
        <w:jc w:val="left"/>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b/>
          <w:bCs/>
          <w:sz w:val="44"/>
          <w:szCs w:val="44"/>
          <w:lang w:eastAsia="zh-CN"/>
        </w:rPr>
        <w:t>村规民约</w:t>
      </w:r>
    </w:p>
    <w:p w14:paraId="31198018">
      <w:pPr>
        <w:keepNext w:val="0"/>
        <w:keepLines w:val="0"/>
        <w:pageBreakBefore w:val="0"/>
        <w:widowControl w:val="0"/>
        <w:kinsoku w:val="0"/>
        <w:wordWrap/>
        <w:overflowPunct w:val="0"/>
        <w:topLinePunct w:val="0"/>
        <w:autoSpaceDE/>
        <w:autoSpaceDN/>
        <w:bidi w:val="0"/>
        <w:adjustRightInd/>
        <w:snapToGrid/>
        <w:spacing w:before="0" w:beforeLines="0" w:after="0" w:afterLines="0" w:line="430" w:lineRule="exact"/>
        <w:ind w:left="0" w:leftChars="0" w:right="-104" w:rightChars="-50" w:firstLine="0" w:firstLineChars="0"/>
        <w:textAlignment w:val="auto"/>
        <w:outlineLvl w:val="9"/>
        <w:rPr>
          <w:rFonts w:hint="eastAsia" w:ascii="仿宋_GB2312" w:hAnsi="仿宋_GB2312" w:eastAsia="仿宋_GB2312"/>
          <w:sz w:val="44"/>
          <w:szCs w:val="44"/>
          <w:lang w:val="en-US" w:eastAsia="zh-CN"/>
        </w:rPr>
      </w:pPr>
      <w:r>
        <w:rPr>
          <w:rFonts w:hint="eastAsia" w:ascii="仿宋_GB2312" w:hAnsi="仿宋_GB2312" w:eastAsia="仿宋_GB2312"/>
          <w:sz w:val="44"/>
          <w:szCs w:val="44"/>
          <w:lang w:val="en-US" w:eastAsia="zh-CN"/>
        </w:rPr>
        <w:t xml:space="preserve">    </w:t>
      </w:r>
    </w:p>
    <w:p w14:paraId="76FAEBAA">
      <w:pPr>
        <w:keepNext w:val="0"/>
        <w:keepLines w:val="0"/>
        <w:pageBreakBefore w:val="0"/>
        <w:widowControl w:val="0"/>
        <w:tabs>
          <w:tab w:val="left" w:pos="2518"/>
        </w:tabs>
        <w:kinsoku w:val="0"/>
        <w:wordWrap/>
        <w:overflowPunct w:val="0"/>
        <w:topLinePunct w:val="0"/>
        <w:autoSpaceDE/>
        <w:autoSpaceDN/>
        <w:bidi w:val="0"/>
        <w:adjustRightInd/>
        <w:snapToGrid/>
        <w:spacing w:before="0" w:beforeLines="0" w:after="0" w:afterLines="0" w:line="430" w:lineRule="exact"/>
        <w:ind w:left="0" w:leftChars="0" w:right="-104" w:rightChars="-50" w:firstLine="0" w:firstLineChars="0"/>
        <w:textAlignment w:val="auto"/>
        <w:outlineLvl w:val="9"/>
        <w:rPr>
          <w:rFonts w:hint="eastAsia" w:ascii="仿宋_GB2312" w:hAnsi="仿宋_GB2312" w:eastAsia="仿宋_GB2312"/>
          <w:sz w:val="44"/>
          <w:szCs w:val="44"/>
          <w:lang w:eastAsia="zh-CN"/>
        </w:rPr>
      </w:pPr>
      <w:r>
        <w:rPr>
          <w:rFonts w:hint="eastAsia" w:ascii="仿宋_GB2312" w:hAnsi="仿宋_GB2312" w:eastAsia="仿宋_GB2312"/>
          <w:sz w:val="44"/>
          <w:szCs w:val="44"/>
          <w:lang w:eastAsia="zh-CN"/>
        </w:rPr>
        <w:tab/>
      </w:r>
      <w:r>
        <w:rPr>
          <w:rFonts w:hint="eastAsia" w:ascii="仿宋_GB2312" w:hAnsi="仿宋_GB2312" w:eastAsia="仿宋_GB2312"/>
          <w:sz w:val="44"/>
          <w:szCs w:val="44"/>
          <w:lang w:val="en-US" w:eastAsia="zh-CN"/>
        </w:rPr>
        <w:t xml:space="preserve">   </w:t>
      </w:r>
    </w:p>
    <w:p w14:paraId="2152C3C9">
      <w:pPr>
        <w:keepNext w:val="0"/>
        <w:keepLines w:val="0"/>
        <w:pageBreakBefore w:val="0"/>
        <w:widowControl w:val="0"/>
        <w:kinsoku w:val="0"/>
        <w:wordWrap/>
        <w:overflowPunct w:val="0"/>
        <w:topLinePunct w:val="0"/>
        <w:autoSpaceDE/>
        <w:autoSpaceDN/>
        <w:bidi w:val="0"/>
        <w:adjustRightInd/>
        <w:snapToGrid/>
        <w:spacing w:before="0" w:beforeLines="0" w:after="0" w:afterLines="0" w:line="430" w:lineRule="exact"/>
        <w:ind w:left="0" w:leftChars="0" w:right="-104" w:rightChars="-50" w:firstLine="0" w:firstLineChars="0"/>
        <w:textAlignment w:val="auto"/>
        <w:outlineLvl w:val="9"/>
        <w:rPr>
          <w:rFonts w:hint="eastAsia" w:ascii="仿宋_GB2312" w:hAnsi="仿宋_GB2312" w:eastAsia="仿宋_GB2312"/>
          <w:b/>
          <w:bCs/>
          <w:lang w:val="en-US" w:eastAsia="zh-CN"/>
        </w:rPr>
      </w:pPr>
      <w:r>
        <w:rPr>
          <w:rFonts w:hint="eastAsia" w:ascii="仿宋_GB2312" w:hAnsi="仿宋_GB2312" w:eastAsia="仿宋_GB2312"/>
          <w:lang w:val="en-US" w:eastAsia="zh-CN"/>
        </w:rPr>
        <w:t xml:space="preserve">     </w:t>
      </w:r>
    </w:p>
    <w:p w14:paraId="46B4BF3E">
      <w:pPr>
        <w:keepNext w:val="0"/>
        <w:keepLines w:val="0"/>
        <w:pageBreakBefore w:val="0"/>
        <w:widowControl w:val="0"/>
        <w:kinsoku w:val="0"/>
        <w:wordWrap/>
        <w:overflowPunct w:val="0"/>
        <w:topLinePunct w:val="0"/>
        <w:autoSpaceDE/>
        <w:autoSpaceDN/>
        <w:bidi w:val="0"/>
        <w:adjustRightInd/>
        <w:snapToGrid/>
        <w:spacing w:before="0" w:beforeLines="0" w:after="0" w:afterLines="0" w:line="430" w:lineRule="exact"/>
        <w:ind w:left="0" w:leftChars="0" w:right="-104" w:rightChars="-50" w:firstLine="0" w:firstLineChars="0"/>
        <w:jc w:val="left"/>
        <w:textAlignment w:val="auto"/>
        <w:outlineLvl w:val="9"/>
        <w:rPr>
          <w:rFonts w:hint="eastAsia" w:ascii="仿宋_GB2312" w:hAnsi="仿宋_GB2312" w:eastAsia="仿宋_GB2312"/>
          <w:b/>
          <w:bCs/>
          <w:sz w:val="44"/>
          <w:lang w:val="en-US" w:eastAsia="zh-CN"/>
        </w:rPr>
      </w:pPr>
      <w:r>
        <w:rPr>
          <w:rFonts w:hint="eastAsia" w:ascii="仿宋_GB2312" w:hAnsi="仿宋_GB2312" w:eastAsia="仿宋_GB2312"/>
          <w:b/>
          <w:bCs/>
          <w:lang w:val="en-US" w:eastAsia="zh-CN"/>
        </w:rPr>
        <w:t xml:space="preserve">     </w:t>
      </w:r>
      <w:r>
        <w:rPr>
          <w:rFonts w:hint="eastAsia" w:ascii="仿宋_GB2312" w:hAnsi="仿宋_GB2312" w:eastAsia="仿宋_GB2312"/>
          <w:b/>
          <w:bCs/>
          <w:sz w:val="44"/>
          <w:lang w:val="en-US" w:eastAsia="zh-CN"/>
        </w:rPr>
        <w:t xml:space="preserve">          </w:t>
      </w:r>
      <w:r>
        <w:rPr>
          <w:rFonts w:hint="eastAsia" w:ascii="仿宋_GB2312" w:hAnsi="仿宋_GB2312" w:eastAsia="仿宋_GB2312"/>
          <w:b/>
          <w:bCs/>
          <w:sz w:val="44"/>
          <w:lang w:eastAsia="zh-CN"/>
        </w:rPr>
        <w:t>第一章</w:t>
      </w:r>
      <w:r>
        <w:rPr>
          <w:rFonts w:hint="eastAsia" w:ascii="仿宋_GB2312" w:hAnsi="仿宋_GB2312" w:eastAsia="仿宋_GB2312"/>
          <w:b/>
          <w:bCs/>
          <w:sz w:val="44"/>
          <w:lang w:val="en-US" w:eastAsia="zh-CN"/>
        </w:rPr>
        <w:t xml:space="preserve"> </w:t>
      </w:r>
      <w:r>
        <w:rPr>
          <w:rFonts w:hint="eastAsia" w:ascii="仿宋_GB2312" w:hAnsi="仿宋_GB2312" w:eastAsia="仿宋_GB2312"/>
          <w:b/>
          <w:bCs/>
          <w:sz w:val="44"/>
          <w:lang w:eastAsia="zh-CN"/>
        </w:rPr>
        <w:t>总</w:t>
      </w:r>
      <w:r>
        <w:rPr>
          <w:rFonts w:hint="eastAsia" w:ascii="仿宋_GB2312" w:hAnsi="仿宋_GB2312" w:eastAsia="仿宋_GB2312"/>
          <w:b/>
          <w:bCs/>
          <w:sz w:val="44"/>
          <w:lang w:val="en-US" w:eastAsia="zh-CN"/>
        </w:rPr>
        <w:t xml:space="preserve"> 则</w:t>
      </w:r>
    </w:p>
    <w:p w14:paraId="4A5B89B6">
      <w:pPr>
        <w:keepNext w:val="0"/>
        <w:keepLines w:val="0"/>
        <w:pageBreakBefore w:val="0"/>
        <w:widowControl w:val="0"/>
        <w:kinsoku w:val="0"/>
        <w:wordWrap/>
        <w:overflowPunct w:val="0"/>
        <w:topLinePunct w:val="0"/>
        <w:autoSpaceDE/>
        <w:autoSpaceDN/>
        <w:bidi w:val="0"/>
        <w:adjustRightInd/>
        <w:snapToGrid/>
        <w:spacing w:before="0" w:beforeLines="0" w:after="0" w:afterLines="0" w:line="430" w:lineRule="exact"/>
        <w:ind w:left="0" w:leftChars="0" w:right="-104" w:rightChars="-50" w:firstLine="0" w:firstLineChars="0"/>
        <w:textAlignment w:val="auto"/>
        <w:outlineLvl w:val="9"/>
        <w:rPr>
          <w:rFonts w:hint="eastAsia" w:ascii="仿宋_GB2312" w:hAnsi="仿宋_GB2312" w:eastAsia="仿宋_GB2312"/>
          <w:kern w:val="2"/>
          <w:sz w:val="21"/>
          <w:lang w:val="en-US" w:eastAsia="zh-CN"/>
        </w:rPr>
      </w:pPr>
    </w:p>
    <w:p w14:paraId="1F62D5DE">
      <w:pPr>
        <w:keepNext w:val="0"/>
        <w:keepLines w:val="0"/>
        <w:pageBreakBefore w:val="0"/>
        <w:widowControl w:val="0"/>
        <w:numPr>
          <w:ilvl w:val="0"/>
          <w:numId w:val="0"/>
        </w:numPr>
        <w:kinsoku w:val="0"/>
        <w:wordWrap/>
        <w:overflowPunct w:val="0"/>
        <w:topLinePunct w:val="0"/>
        <w:autoSpaceDE/>
        <w:autoSpaceDN/>
        <w:bidi w:val="0"/>
        <w:adjustRightInd/>
        <w:snapToGrid/>
        <w:spacing w:before="0" w:beforeLines="0" w:after="0" w:afterLines="0" w:line="430" w:lineRule="exact"/>
        <w:ind w:left="0" w:leftChars="0" w:right="-104" w:rightChars="-50" w:firstLine="0" w:firstLineChars="0"/>
        <w:jc w:val="left"/>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w:t>
      </w:r>
      <w:r>
        <w:rPr>
          <w:rFonts w:hint="eastAsia" w:ascii="仿宋_GB2312" w:hAnsi="仿宋_GB2312" w:eastAsia="仿宋_GB2312"/>
          <w:b/>
          <w:bCs/>
          <w:sz w:val="32"/>
          <w:lang w:val="en-US" w:eastAsia="zh-CN"/>
        </w:rPr>
        <w:t xml:space="preserve"> 第一条 </w:t>
      </w:r>
      <w:r>
        <w:rPr>
          <w:rFonts w:hint="eastAsia" w:ascii="仿宋_GB2312" w:hAnsi="仿宋_GB2312" w:eastAsia="仿宋_GB2312"/>
          <w:sz w:val="32"/>
          <w:lang w:val="en-US" w:eastAsia="zh-CN"/>
        </w:rPr>
        <w:t xml:space="preserve"> 为了正确执行党的路线、方针、政策，加强本村的行政管理，促进经济繁荣、民族团结、科技进步和农村精神文明建设，努力完成上级下达的各项工作任务，切实维护广大村民的合法权益，为本村的村民尽快脱贫致富奔小康创造良好的社会环境和稳定的社会秩序。根据&lt;&lt;中华人民共和国宪法&gt;&gt;和&lt;&lt;中华人民共和国村民委员会组织法&gt;&gt;的有关规定，结合我村的实际，制定本村村规民约。</w:t>
      </w:r>
    </w:p>
    <w:p w14:paraId="5D667866">
      <w:pPr>
        <w:keepNext w:val="0"/>
        <w:keepLines w:val="0"/>
        <w:pageBreakBefore w:val="0"/>
        <w:widowControl w:val="0"/>
        <w:numPr>
          <w:ilvl w:val="0"/>
          <w:numId w:val="0"/>
        </w:numPr>
        <w:kinsoku w:val="0"/>
        <w:wordWrap/>
        <w:overflowPunct w:val="0"/>
        <w:topLinePunct w:val="0"/>
        <w:autoSpaceDE/>
        <w:autoSpaceDN/>
        <w:bidi w:val="0"/>
        <w:adjustRightInd/>
        <w:snapToGrid/>
        <w:spacing w:before="0" w:beforeLines="0" w:after="0" w:afterLines="0" w:line="430" w:lineRule="exact"/>
        <w:ind w:left="0" w:leftChars="0" w:right="-104" w:rightChars="-50" w:firstLine="0" w:firstLineChars="0"/>
        <w:jc w:val="left"/>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w:t>
      </w:r>
      <w:r>
        <w:rPr>
          <w:rFonts w:hint="eastAsia" w:ascii="仿宋_GB2312" w:hAnsi="仿宋_GB2312" w:eastAsia="仿宋_GB2312"/>
          <w:b/>
          <w:bCs/>
          <w:sz w:val="32"/>
          <w:lang w:val="en-US" w:eastAsia="zh-CN"/>
        </w:rPr>
        <w:t xml:space="preserve">   第二条 </w:t>
      </w:r>
      <w:r>
        <w:rPr>
          <w:rFonts w:hint="eastAsia" w:ascii="仿宋_GB2312" w:hAnsi="仿宋_GB2312" w:eastAsia="仿宋_GB2312"/>
          <w:sz w:val="32"/>
          <w:lang w:val="en-US" w:eastAsia="zh-CN"/>
        </w:rPr>
        <w:t>本村村规民约是经过村委会深入调研，广泛听取群众意见，并通过广大党员、组干部、村民代表、人大代表以及各种组织会议讨论修改，集中反映了广大村民的意愿，是我村具体的行为规范准则。凡是户口在我村的村民或户口不在我村而在本村范围内生产、生活或进行其他活动的人员都适应本村村规民约。</w:t>
      </w:r>
    </w:p>
    <w:p w14:paraId="275D4C96">
      <w:pPr>
        <w:keepNext w:val="0"/>
        <w:keepLines w:val="0"/>
        <w:pageBreakBefore w:val="0"/>
        <w:widowControl w:val="0"/>
        <w:numPr>
          <w:ilvl w:val="0"/>
          <w:numId w:val="0"/>
        </w:numPr>
        <w:kinsoku w:val="0"/>
        <w:wordWrap/>
        <w:overflowPunct w:val="0"/>
        <w:topLinePunct w:val="0"/>
        <w:autoSpaceDE/>
        <w:autoSpaceDN/>
        <w:bidi w:val="0"/>
        <w:adjustRightInd/>
        <w:snapToGrid/>
        <w:spacing w:before="0" w:beforeLines="0" w:after="0" w:afterLines="0" w:line="430" w:lineRule="exact"/>
        <w:ind w:left="0" w:leftChars="0" w:right="-104" w:rightChars="-50" w:firstLine="0" w:firstLineChars="0"/>
        <w:jc w:val="left"/>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w:t>
      </w:r>
      <w:r>
        <w:rPr>
          <w:rFonts w:hint="eastAsia" w:ascii="仿宋_GB2312" w:hAnsi="仿宋_GB2312" w:eastAsia="仿宋_GB2312"/>
          <w:b/>
          <w:bCs/>
          <w:sz w:val="32"/>
          <w:lang w:val="en-US" w:eastAsia="zh-CN"/>
        </w:rPr>
        <w:t xml:space="preserve"> 第三条 </w:t>
      </w:r>
      <w:r>
        <w:rPr>
          <w:rFonts w:hint="eastAsia" w:ascii="仿宋_GB2312" w:hAnsi="仿宋_GB2312" w:eastAsia="仿宋_GB2312"/>
          <w:sz w:val="32"/>
          <w:lang w:val="en-US" w:eastAsia="zh-CN"/>
        </w:rPr>
        <w:t xml:space="preserve">村党总支是带领广大村民贯彻执行党的路线、方针、政策，推进农村改革开放和发展社会主义经济的战斗堡垒，基层各种组织在党总支的领导下工作，党总支必须接受上级党委的领导，村民委员会在党总支的指导下，有权依照宪法、法律和国家有关政策，独立地处理本村的事务，实行民主选举，民主决策，民主管理，民主监督，搞好自我管理。自我教育，自我服务工作。  </w:t>
      </w:r>
    </w:p>
    <w:p w14:paraId="28FEAFAF">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firstLine="0" w:firstLineChars="0"/>
        <w:jc w:val="left"/>
        <w:textAlignment w:val="auto"/>
        <w:outlineLvl w:val="9"/>
        <w:rPr>
          <w:rFonts w:hint="eastAsia" w:ascii="仿宋_GB2312" w:hAnsi="仿宋_GB2312" w:eastAsia="仿宋_GB2312"/>
          <w:b/>
          <w:bCs/>
          <w:sz w:val="32"/>
          <w:lang w:val="en-US" w:eastAsia="zh-CN"/>
        </w:rPr>
      </w:pPr>
      <w:r>
        <w:rPr>
          <w:rFonts w:hint="eastAsia" w:ascii="仿宋_GB2312" w:hAnsi="仿宋_GB2312" w:eastAsia="仿宋_GB2312"/>
          <w:sz w:val="32"/>
          <w:lang w:val="en-US" w:eastAsia="zh-CN"/>
        </w:rPr>
        <w:t xml:space="preserve"> </w:t>
      </w:r>
    </w:p>
    <w:p w14:paraId="5E4D3EDB">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firstLine="0" w:firstLineChars="0"/>
        <w:jc w:val="center"/>
        <w:textAlignment w:val="auto"/>
        <w:outlineLvl w:val="9"/>
        <w:rPr>
          <w:rFonts w:hint="eastAsia" w:ascii="仿宋_GB2312" w:hAnsi="仿宋_GB2312" w:eastAsia="仿宋_GB2312"/>
          <w:b/>
          <w:bCs/>
          <w:sz w:val="44"/>
          <w:lang w:val="en-US" w:eastAsia="zh-CN"/>
        </w:rPr>
      </w:pPr>
      <w:r>
        <w:rPr>
          <w:rFonts w:hint="eastAsia" w:ascii="仿宋_GB2312" w:hAnsi="仿宋_GB2312" w:eastAsia="仿宋_GB2312"/>
          <w:b/>
          <w:bCs/>
          <w:sz w:val="44"/>
          <w:lang w:val="en-US" w:eastAsia="zh-CN"/>
        </w:rPr>
        <w:t xml:space="preserve">  第二章生产经营管理</w:t>
      </w:r>
    </w:p>
    <w:p w14:paraId="5AC6C64E">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firstLine="0" w:firstLineChars="0"/>
        <w:jc w:val="left"/>
        <w:textAlignment w:val="auto"/>
        <w:outlineLvl w:val="9"/>
        <w:rPr>
          <w:rFonts w:hint="eastAsia" w:ascii="仿宋_GB2312" w:hAnsi="仿宋_GB2312" w:eastAsia="仿宋_GB2312"/>
          <w:sz w:val="44"/>
          <w:lang w:val="en-US" w:eastAsia="zh-CN"/>
        </w:rPr>
      </w:pPr>
      <w:r>
        <w:rPr>
          <w:rFonts w:hint="eastAsia" w:ascii="仿宋_GB2312" w:hAnsi="仿宋_GB2312" w:eastAsia="仿宋_GB2312"/>
          <w:sz w:val="44"/>
          <w:lang w:val="en-US" w:eastAsia="zh-CN"/>
        </w:rPr>
        <w:t xml:space="preserve">   </w:t>
      </w:r>
    </w:p>
    <w:p w14:paraId="0C8FDE6E">
      <w:pPr>
        <w:keepNext w:val="0"/>
        <w:keepLines w:val="0"/>
        <w:pageBreakBefore w:val="0"/>
        <w:widowControl w:val="0"/>
        <w:numPr>
          <w:ilvl w:val="0"/>
          <w:numId w:val="3"/>
        </w:numPr>
        <w:kinsoku/>
        <w:wordWrap/>
        <w:overflowPunct/>
        <w:topLinePunct w:val="0"/>
        <w:autoSpaceDE/>
        <w:autoSpaceDN/>
        <w:bidi w:val="0"/>
        <w:adjustRightInd/>
        <w:snapToGrid/>
        <w:spacing w:before="0" w:beforeLines="0" w:after="0" w:afterLines="0" w:line="430" w:lineRule="exact"/>
        <w:ind w:left="803" w:leftChars="0" w:right="-104" w:rightChars="-50" w:firstLine="0" w:firstLineChars="0"/>
        <w:jc w:val="left"/>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本村范围内的一切合同事宜，都必须遵照国家&lt;&lt;合同法&gt;&gt;和相关的政策进行，对违反合同法行为者，村委会有权依法取消和征收违约金，违法严重者报上级主管部门处理。为了加强本村合同管理，保障经济可持续发展，巩固生产秩序特作如下规定：</w:t>
      </w:r>
    </w:p>
    <w:p w14:paraId="71405B80">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lt;一&gt;自然村、村民小组为了发展壮大集体经济收入，需要出租荒山、荒坡、荒地等都必须经村民大会讨论同意，村民委员会审批。集体出租的荒山、荒坡、荒地等收入按20%提交村委会，双方还需各交纳50元公证费到村委会，收入的80%留本自然村、村民小组使用。所有出租合同必须由村委会公证，必须盖有村委会公章才能生效。</w:t>
      </w:r>
    </w:p>
    <w:p w14:paraId="6A9FAFAB">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&lt;二&gt;如有在本村投办矿厂、企业，应让本村村民优先就业;且石厂、沙厂在本村建设公共基础设施需要材料时，应安每方市场价优惠30%的价格优先提供给本村公共设施建设使用。</w:t>
      </w:r>
    </w:p>
    <w:p w14:paraId="17EEDD02">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&lt;三&gt; 出租“四荒”期限一轮不得超过五年，统一合同要稳定十五年至三十年。土地出租费标准：本村村民承包村集体土地每亩30元，非本村人员每亩40元。</w:t>
      </w:r>
    </w:p>
    <w:p w14:paraId="3DA540B4">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&lt;四&gt;和平村大沟，由和平村委会根据&lt;&lt;和平村大沟管理制度&gt;&gt;统一管理。</w:t>
      </w:r>
    </w:p>
    <w:p w14:paraId="2B14DC86">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lt;五&gt;承包合同若承包期内发生自然灾害，受灾损失程度在50%以上的，要经村民大会讨论通过，方可减免承包费；没有正当理由任何一方都不得自行终止和更改合同，违者，要承担受害的全部损失。并一次性交违约金按每亩(300-1000元）。</w:t>
      </w:r>
    </w:p>
    <w:p w14:paraId="53D6DD2B">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lt;六&gt;凡是在本村范围内的煤、矿、石、水（地表水、地下水）等都是本村的资源，开发利用时必须得到主管部门的许可，本村大会同意，否则不予开发。每个村民都要自觉维护本村范围内的名胜古迹、古树、风景林、风俗景点，违者，收一次性违约金1000-3000元。</w:t>
      </w:r>
    </w:p>
    <w:p w14:paraId="637EF8EC">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&lt;七&gt;在本村内若安置商业广告，必须根据面积大小收取一定的管理费用，30元每平方米。</w:t>
      </w:r>
    </w:p>
    <w:p w14:paraId="2BEDE7CB">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w:t>
      </w:r>
      <w:r>
        <w:rPr>
          <w:rFonts w:hint="eastAsia" w:ascii="仿宋_GB2312" w:hAnsi="仿宋_GB2312" w:eastAsia="仿宋_GB2312"/>
          <w:b/>
          <w:bCs/>
          <w:sz w:val="32"/>
          <w:lang w:val="en-US" w:eastAsia="zh-CN"/>
        </w:rPr>
        <w:t xml:space="preserve"> 第二条 </w:t>
      </w:r>
      <w:r>
        <w:rPr>
          <w:rFonts w:hint="eastAsia" w:ascii="仿宋_GB2312" w:hAnsi="仿宋_GB2312" w:eastAsia="仿宋_GB2312"/>
          <w:sz w:val="32"/>
          <w:lang w:val="en-US" w:eastAsia="zh-CN"/>
        </w:rPr>
        <w:t xml:space="preserve"> 畜牧、生猪管理。畜牧、生猪是农村家庭一个经济收入来源的途径。要发展家庭畜牧业，必须先搞好管理，生猪采取关养对发展生猪业是一个好的饲养办法，针对这一问题特如下规定：</w:t>
      </w:r>
    </w:p>
    <w:p w14:paraId="59497E55">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&lt;一&gt;大牲畜残踏他人庄稼（甘蔗、水稻、玉米等）的由牧主或放牧者按照每棵0.5元赔偿损失。</w:t>
      </w:r>
    </w:p>
    <w:p w14:paraId="3FD7B1E5">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&lt;二&gt;猪要采取圈养，乱放猪者，损坏他人庄稼，照价赔偿，影响社会环境卫生的，由本组组委会、联防队、民兵来抓，并收违约金50元每头，如三天内没有人领，由村委会自行处理。</w:t>
      </w:r>
    </w:p>
    <w:p w14:paraId="49C78CBA">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sz w:val="32"/>
          <w:lang w:val="en-US" w:eastAsia="zh-CN"/>
        </w:rPr>
      </w:pPr>
    </w:p>
    <w:p w14:paraId="33853509">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firstLine="0" w:firstLineChars="0"/>
        <w:jc w:val="center"/>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w:t>
      </w:r>
    </w:p>
    <w:p w14:paraId="7185B6F9">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firstLine="0" w:firstLineChars="0"/>
        <w:jc w:val="center"/>
        <w:textAlignment w:val="auto"/>
        <w:outlineLvl w:val="9"/>
        <w:rPr>
          <w:rFonts w:hint="eastAsia" w:ascii="仿宋_GB2312" w:hAnsi="仿宋_GB2312" w:eastAsia="仿宋_GB2312"/>
          <w:b/>
          <w:bCs/>
          <w:sz w:val="44"/>
          <w:lang w:val="en-US" w:eastAsia="zh-CN"/>
        </w:rPr>
      </w:pPr>
      <w:r>
        <w:rPr>
          <w:rFonts w:hint="eastAsia" w:ascii="仿宋_GB2312" w:hAnsi="仿宋_GB2312" w:eastAsia="仿宋_GB2312"/>
          <w:b/>
          <w:bCs/>
          <w:sz w:val="44"/>
          <w:lang w:val="en-US" w:eastAsia="zh-CN"/>
        </w:rPr>
        <w:t>第三章土地管理</w:t>
      </w:r>
    </w:p>
    <w:p w14:paraId="4924E2CA">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w:t>
      </w:r>
    </w:p>
    <w:p w14:paraId="3A3DE96F">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w:t>
      </w:r>
    </w:p>
    <w:p w14:paraId="15A5C09F">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w:t>
      </w:r>
      <w:r>
        <w:rPr>
          <w:rFonts w:hint="eastAsia" w:ascii="仿宋_GB2312" w:hAnsi="仿宋_GB2312" w:eastAsia="仿宋_GB2312"/>
          <w:b/>
          <w:bCs/>
          <w:sz w:val="32"/>
          <w:lang w:val="en-US" w:eastAsia="zh-CN"/>
        </w:rPr>
        <w:t xml:space="preserve">第一条 </w:t>
      </w:r>
      <w:r>
        <w:rPr>
          <w:rFonts w:hint="eastAsia" w:ascii="仿宋_GB2312" w:hAnsi="仿宋_GB2312" w:eastAsia="仿宋_GB2312"/>
          <w:sz w:val="32"/>
          <w:lang w:val="en-US" w:eastAsia="zh-CN"/>
        </w:rPr>
        <w:t xml:space="preserve"> 土地的使用以及规定</w:t>
      </w:r>
    </w:p>
    <w:p w14:paraId="5F9CC71A">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lt;一&gt;集体土地（包括自留山、责任山以及“四荒”）没有集体作为开发划分，村民大会讨论同意，村委会审批任何人都不得开荒种地，违者，每亩征收资源损失费500-1000元；毁林开荒者，除了征收资源费外，按森林实际损失赔偿，并一次性收违约金100-1000元。</w:t>
      </w:r>
    </w:p>
    <w:p w14:paraId="44C358B5">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b w:val="0"/>
          <w:bCs w:val="0"/>
          <w:color w:val="auto"/>
          <w:sz w:val="32"/>
          <w:lang w:val="en-US" w:eastAsia="zh-CN"/>
        </w:rPr>
      </w:pPr>
      <w:r>
        <w:rPr>
          <w:rFonts w:hint="eastAsia" w:ascii="仿宋_GB2312" w:hAnsi="仿宋_GB2312" w:eastAsia="仿宋_GB2312"/>
          <w:sz w:val="32"/>
          <w:lang w:val="en-US" w:eastAsia="zh-CN"/>
        </w:rPr>
        <w:t xml:space="preserve">    &lt;二&gt;农户把集体分给的耕地充荒三年的，在不减免国家、集体任务的同时，由集体收回交给有能力的农户承包；属于“两山一地”时叉片的耕地充耕三年的，要坚持随片走的原则；</w:t>
      </w:r>
      <w:r>
        <w:rPr>
          <w:rFonts w:hint="eastAsia" w:ascii="仿宋_GB2312" w:hAnsi="仿宋_GB2312" w:eastAsia="仿宋_GB2312"/>
          <w:b w:val="0"/>
          <w:bCs w:val="0"/>
          <w:color w:val="auto"/>
          <w:sz w:val="32"/>
          <w:lang w:val="en-US" w:eastAsia="zh-CN"/>
        </w:rPr>
        <w:t>若有转让情况，由接经营者在合同期内完成国家、集体任务，合同期到由集体统一收回。</w:t>
      </w:r>
    </w:p>
    <w:p w14:paraId="44CF2CBE">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sz w:val="32"/>
          <w:lang w:val="en-US" w:eastAsia="zh-CN"/>
        </w:rPr>
      </w:pPr>
      <w:r>
        <w:rPr>
          <w:rFonts w:hint="eastAsia" w:ascii="仿宋_GB2312" w:hAnsi="仿宋_GB2312" w:eastAsia="仿宋_GB2312"/>
          <w:b w:val="0"/>
          <w:bCs w:val="0"/>
          <w:color w:val="auto"/>
          <w:sz w:val="32"/>
          <w:lang w:val="en-US" w:eastAsia="zh-CN"/>
        </w:rPr>
        <w:t xml:space="preserve">    &lt;三&gt;集体在稳定家庭联产承包责任制的前提下，</w:t>
      </w:r>
      <w:r>
        <w:rPr>
          <w:rFonts w:hint="eastAsia" w:ascii="仿宋_GB2312" w:hAnsi="仿宋_GB2312" w:eastAsia="仿宋_GB2312"/>
          <w:sz w:val="32"/>
          <w:lang w:val="en-US" w:eastAsia="zh-CN"/>
        </w:rPr>
        <w:t>根据集体经济发展的需要，可安排一定数量的土地作为集体经济基地，有条件的村民小组可以减免农户上交提留。不允许任何个人拍卖土地，违者，按“土地法”处理。</w:t>
      </w:r>
    </w:p>
    <w:p w14:paraId="12A9E68A">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firstLine="638" w:firstLineChars="200"/>
        <w:jc w:val="left"/>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lt;四&gt;村民自行调换土地面积，自行订立合同都不得影响国家、集体任务的完成，否则，按有关规定处理，本村村民连续不完成国家、集体提留上交任务三年的，村委会有权收回土地面积承包给有能力的农户，原承包户所欠的提留上交任务要限期交清。外地人员承包“四荒”的必须先交纳20%的押金。需交纳同期内承包费，两年为一期，续在商议定价。</w:t>
      </w:r>
    </w:p>
    <w:p w14:paraId="47D8E080">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firstLine="638" w:firstLineChars="200"/>
        <w:jc w:val="left"/>
        <w:textAlignment w:val="auto"/>
        <w:outlineLvl w:val="9"/>
        <w:rPr>
          <w:rFonts w:hint="eastAsia" w:ascii="仿宋_GB2312" w:hAnsi="仿宋_GB2312" w:eastAsia="仿宋_GB2312"/>
          <w:sz w:val="32"/>
          <w:lang w:val="en-US" w:eastAsia="zh-CN"/>
        </w:rPr>
      </w:pPr>
      <w:r>
        <w:rPr>
          <w:rFonts w:hint="eastAsia" w:ascii="仿宋_GB2312" w:hAnsi="仿宋_GB2312" w:eastAsia="仿宋_GB2312"/>
          <w:b/>
          <w:bCs/>
          <w:sz w:val="32"/>
          <w:lang w:val="en-US" w:eastAsia="zh-CN"/>
        </w:rPr>
        <w:t xml:space="preserve">第二条 </w:t>
      </w:r>
      <w:r>
        <w:rPr>
          <w:rFonts w:hint="eastAsia" w:ascii="仿宋_GB2312" w:hAnsi="仿宋_GB2312" w:eastAsia="仿宋_GB2312"/>
          <w:sz w:val="32"/>
          <w:lang w:val="en-US" w:eastAsia="zh-CN"/>
        </w:rPr>
        <w:t>基本建设项目占用耕地，占用民宅的规定</w:t>
      </w:r>
    </w:p>
    <w:p w14:paraId="758BA8EB">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lt;一&gt;国家建设，集体公益事业占用农户承包的林地、耕地面积半亩以下的，集体可按所占的面积减免任务，如果耕地面积被占用就按土地承包期满30年后再进行调整补给农户。半亩以上的按500元每亩补给农户。村民小组要进行土地调整时，必须通过村民大会讨论通过，村委会审批。</w:t>
      </w:r>
    </w:p>
    <w:p w14:paraId="574C4D65">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&lt;二&gt;国家建设、集体公益性事业占用民宅，涉及到拆迁的按现行价计价，由建设单位给予补偿。</w:t>
      </w:r>
    </w:p>
    <w:p w14:paraId="36CEE955">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lt;三&gt;单位或个人占用集体公共场地，事先已申请并得到允许的集体要列为出租，转让、出租时间不宜超过10年，出租费每年每亩300元，转让时间不宜超过30年，每亩一次性收转让费2000-5000元;乱占者除了按上述处理外，加收违约金一次性50-300元。</w:t>
      </w:r>
    </w:p>
    <w:p w14:paraId="6E9249D7">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lt;四&gt;村民新分户建房如在已规划为宅基地的自留地上，改自留地的农户应无偿提供地块，再根据此片土地上有的经济作物的价值给予补偿，若是用林地、耕地的需经双方相互调换面积并经上级有关部门审批批准后方可使用。</w:t>
      </w:r>
      <w:r>
        <w:rPr>
          <w:rFonts w:hint="eastAsia" w:ascii="仿宋_GB2312" w:hAnsi="仿宋_GB2312" w:eastAsia="仿宋_GB2312"/>
          <w:sz w:val="32"/>
          <w:u w:val="none" w:color="auto"/>
          <w:lang w:val="en-US" w:eastAsia="zh-CN"/>
        </w:rPr>
        <w:t>村民建房、搞基础设施建设等一律不得私占和堵塞道路、村道，违者</w:t>
      </w:r>
      <w:r>
        <w:rPr>
          <w:rFonts w:hint="eastAsia" w:ascii="仿宋_GB2312" w:hAnsi="仿宋_GB2312" w:eastAsia="仿宋_GB2312"/>
          <w:color w:val="auto"/>
          <w:sz w:val="32"/>
          <w:u w:val="none"/>
          <w:lang w:val="en-US" w:eastAsia="zh-CN"/>
        </w:rPr>
        <w:t>必须有各自然村、组干部进行拆除，并</w:t>
      </w:r>
      <w:r>
        <w:rPr>
          <w:rFonts w:hint="eastAsia" w:ascii="仿宋_GB2312" w:hAnsi="仿宋_GB2312" w:eastAsia="仿宋_GB2312"/>
          <w:sz w:val="32"/>
          <w:lang w:val="en-US" w:eastAsia="zh-CN"/>
        </w:rPr>
        <w:t>收一次性违约金100-500元。</w:t>
      </w:r>
    </w:p>
    <w:p w14:paraId="77137720">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right="-104" w:rightChars="-50" w:firstLine="638" w:firstLineChars="200"/>
        <w:jc w:val="left"/>
        <w:textAlignment w:val="auto"/>
        <w:outlineLvl w:val="9"/>
        <w:rPr>
          <w:rFonts w:hint="eastAsia" w:ascii="仿宋" w:hAnsi="仿宋" w:eastAsia="仿宋" w:cs="仿宋"/>
          <w:b/>
          <w:bCs/>
          <w:sz w:val="32"/>
          <w:szCs w:val="32"/>
          <w:lang w:val="en-US" w:eastAsia="zh-CN"/>
        </w:rPr>
      </w:pPr>
      <w:r>
        <w:rPr>
          <w:rFonts w:hint="eastAsia" w:ascii="仿宋" w:hAnsi="仿宋" w:eastAsia="仿宋" w:cs="仿宋"/>
          <w:sz w:val="32"/>
          <w:szCs w:val="32"/>
          <w:lang w:val="en-US" w:eastAsia="zh-CN"/>
        </w:rPr>
        <w:t>(五)</w:t>
      </w:r>
      <w:r>
        <w:rPr>
          <w:rFonts w:hint="eastAsia" w:ascii="仿宋" w:hAnsi="仿宋" w:eastAsia="仿宋" w:cs="仿宋"/>
          <w:b w:val="0"/>
          <w:bCs w:val="0"/>
          <w:sz w:val="32"/>
          <w:szCs w:val="32"/>
        </w:rPr>
        <w:t>服从</w:t>
      </w:r>
      <w:r>
        <w:rPr>
          <w:rFonts w:hint="eastAsia" w:ascii="仿宋" w:hAnsi="仿宋" w:eastAsia="仿宋" w:cs="仿宋"/>
          <w:b w:val="0"/>
          <w:bCs w:val="0"/>
          <w:sz w:val="32"/>
          <w:szCs w:val="32"/>
          <w:lang w:eastAsia="zh-CN"/>
        </w:rPr>
        <w:t>项目</w:t>
      </w:r>
      <w:r>
        <w:rPr>
          <w:rFonts w:hint="eastAsia" w:ascii="仿宋" w:hAnsi="仿宋" w:eastAsia="仿宋" w:cs="仿宋"/>
          <w:b w:val="0"/>
          <w:bCs w:val="0"/>
          <w:sz w:val="32"/>
          <w:szCs w:val="32"/>
        </w:rPr>
        <w:t>规划。</w:t>
      </w:r>
      <w:r>
        <w:rPr>
          <w:rFonts w:hint="eastAsia" w:ascii="仿宋" w:hAnsi="仿宋" w:eastAsia="仿宋" w:cs="仿宋"/>
          <w:b w:val="0"/>
          <w:bCs w:val="0"/>
          <w:sz w:val="32"/>
          <w:szCs w:val="32"/>
          <w:lang w:eastAsia="zh-CN"/>
        </w:rPr>
        <w:t>农户或者集体</w:t>
      </w:r>
      <w:r>
        <w:rPr>
          <w:rFonts w:hint="eastAsia" w:ascii="仿宋" w:hAnsi="仿宋" w:eastAsia="仿宋" w:cs="仿宋"/>
          <w:sz w:val="32"/>
          <w:szCs w:val="32"/>
        </w:rPr>
        <w:t>起房盖屋必须服从村庄建设规划，经自然村理事会实地踏勘，报村委会和上级有关部门批准，不</w:t>
      </w:r>
      <w:r>
        <w:rPr>
          <w:rFonts w:hint="eastAsia" w:ascii="仿宋" w:hAnsi="仿宋" w:eastAsia="仿宋" w:cs="仿宋"/>
          <w:spacing w:val="8"/>
          <w:sz w:val="32"/>
          <w:szCs w:val="32"/>
        </w:rPr>
        <w:t>得擅自动工，不得私搭乱建，不得违反规划或损害四邻利益</w:t>
      </w:r>
      <w:r>
        <w:rPr>
          <w:rFonts w:hint="eastAsia" w:ascii="仿宋" w:hAnsi="仿宋" w:eastAsia="仿宋" w:cs="仿宋"/>
          <w:spacing w:val="8"/>
          <w:sz w:val="32"/>
          <w:szCs w:val="32"/>
          <w:lang w:eastAsia="zh-CN"/>
        </w:rPr>
        <w:t>，违反者按照上级有关规定处理。</w:t>
      </w:r>
    </w:p>
    <w:p w14:paraId="30832E7A">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sz w:val="32"/>
          <w:lang w:val="en-US" w:eastAsia="zh-CN"/>
        </w:rPr>
      </w:pPr>
    </w:p>
    <w:p w14:paraId="5E41227F">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b/>
          <w:bCs/>
          <w:sz w:val="32"/>
          <w:lang w:val="en-US" w:eastAsia="zh-CN"/>
        </w:rPr>
      </w:pPr>
      <w:r>
        <w:rPr>
          <w:rFonts w:hint="eastAsia" w:ascii="仿宋_GB2312" w:hAnsi="仿宋_GB2312" w:eastAsia="仿宋_GB2312"/>
          <w:sz w:val="32"/>
          <w:lang w:val="en-US" w:eastAsia="zh-CN"/>
        </w:rPr>
        <w:t xml:space="preserve">   </w:t>
      </w:r>
    </w:p>
    <w:p w14:paraId="56BA7B23">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b/>
          <w:bCs/>
          <w:sz w:val="44"/>
          <w:lang w:val="en-US" w:eastAsia="zh-CN"/>
        </w:rPr>
      </w:pPr>
      <w:r>
        <w:rPr>
          <w:rFonts w:hint="eastAsia" w:ascii="仿宋_GB2312" w:hAnsi="仿宋_GB2312" w:eastAsia="仿宋_GB2312"/>
          <w:b/>
          <w:bCs/>
          <w:sz w:val="32"/>
          <w:lang w:val="en-US" w:eastAsia="zh-CN"/>
        </w:rPr>
        <w:t xml:space="preserve">         </w:t>
      </w:r>
      <w:r>
        <w:rPr>
          <w:rFonts w:hint="eastAsia" w:ascii="仿宋_GB2312" w:hAnsi="仿宋_GB2312" w:eastAsia="仿宋_GB2312"/>
          <w:b/>
          <w:bCs/>
          <w:sz w:val="44"/>
          <w:lang w:val="en-US" w:eastAsia="zh-CN"/>
        </w:rPr>
        <w:t xml:space="preserve">     第四章林地管理</w:t>
      </w:r>
    </w:p>
    <w:p w14:paraId="1E40E32A">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sz w:val="32"/>
          <w:lang w:val="en-US" w:eastAsia="zh-CN"/>
        </w:rPr>
      </w:pPr>
    </w:p>
    <w:p w14:paraId="1C34B9EF">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w:t>
      </w:r>
      <w:r>
        <w:rPr>
          <w:rFonts w:hint="eastAsia" w:ascii="仿宋_GB2312" w:hAnsi="仿宋_GB2312" w:eastAsia="仿宋_GB2312"/>
          <w:b/>
          <w:bCs/>
          <w:sz w:val="32"/>
          <w:lang w:val="en-US" w:eastAsia="zh-CN"/>
        </w:rPr>
        <w:t xml:space="preserve">  第一条 </w:t>
      </w:r>
      <w:r>
        <w:rPr>
          <w:rFonts w:hint="eastAsia" w:ascii="仿宋_GB2312" w:hAnsi="仿宋_GB2312" w:eastAsia="仿宋_GB2312"/>
          <w:sz w:val="32"/>
          <w:lang w:val="en-US" w:eastAsia="zh-CN"/>
        </w:rPr>
        <w:t xml:space="preserve"> 森林保护。根据“青山绿水”工程的具体要求和林改安排。森林是国家、集体宝贵的资源之一，每个村民都要自觉地爱护森林，有效利用森林资源，发展林木产业，保持生态平衡，特作如下规定：</w:t>
      </w:r>
    </w:p>
    <w:p w14:paraId="72D2E843">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lt;一&gt;各组划分到户的风景林，水源林和集体公益林和其防护林地管理，组长是第一责任人，群众要在组干部的统一组织下经营管理好各户林地;群众需要木材不得在自己所管护风景林，水源林和集体公益林和其防护林中采伐。</w:t>
      </w:r>
    </w:p>
    <w:p w14:paraId="57E18C3F">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&lt;二&gt;各组建设公益事业需要砍伐木材，必须向村委会提出申请，办理相关手续后，按“一事一议”办理。任何个人、单位或集体不得乱砍滥伐，更不允许开荒种地。</w:t>
      </w:r>
    </w:p>
    <w:p w14:paraId="6092590D">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&lt;三&gt;自留山，责任山的管理;依据有关政策，农户自己管理，自主经营，但是不能抛荒失管。</w:t>
      </w:r>
    </w:p>
    <w:p w14:paraId="7E4D28FC">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&lt;四&gt;在自留山、责任山内农户需要砍伐木材或更新林种的，需要请村组同意后报上级相关部门批准才能砍伐，责任山林种更新后应交的林地承包费不变（各组收取使用）。</w:t>
      </w:r>
    </w:p>
    <w:p w14:paraId="32557588">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&lt;五&gt;自留山、责任山的户主要加倍管护，植树造林，不得擅自毁林种地，必须完成砍伐更新造林任务，如有违反，按照相关法律规定处理。</w:t>
      </w:r>
    </w:p>
    <w:p w14:paraId="14AAB337">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&lt;六&gt;严禁林区用火，人为失火，按相关规定处理。</w:t>
      </w:r>
    </w:p>
    <w:p w14:paraId="279E2FA3">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&lt;七&gt;林改政策后农户不得将承包的责任山以及自留山改为非林地，擅自改为非林地的，村组有权取消承包资格，收回另外包。</w:t>
      </w:r>
    </w:p>
    <w:p w14:paraId="2252F757">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&lt;八&gt;属于国家重点公益林和已划为自然保护区的自留山、责任山、集体林严禁砍伐。所有公益林的管理费由各组负责收回，按农户20%、组集体40%、村委会40%的比例分开使用。</w:t>
      </w:r>
    </w:p>
    <w:p w14:paraId="203DD173">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&lt;九&gt;农户要结合实际，充分利用所承包的林地，积极发展林产业，对抛荒失管连续两年不植树造林的，由本小组收回重新发包。</w:t>
      </w:r>
    </w:p>
    <w:p w14:paraId="6B82EC98">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&lt;十&gt;区划为地方公益林地，原则上可适当砍伐，限伐，禁止破坏性砍伐。</w:t>
      </w:r>
    </w:p>
    <w:p w14:paraId="6189F74D">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&lt;十一&gt;林农必须对新承包的林地做好科学保护。</w:t>
      </w:r>
    </w:p>
    <w:p w14:paraId="6D1E968B">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&lt;十二&gt;持证后林地的流转，林权证的变更必须严格按照《临沧市林地流转管理暂行办法》执行。</w:t>
      </w:r>
    </w:p>
    <w:p w14:paraId="230BCDD4">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&lt;十三&gt;林木的砍伐必须遵守《中华人民共和国森林法》和《沧源佤族自治县林业管理条例》，严格按程序报批。</w:t>
      </w:r>
    </w:p>
    <w:p w14:paraId="4A1273A6">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w:t>
      </w:r>
      <w:r>
        <w:rPr>
          <w:rFonts w:hint="eastAsia" w:ascii="仿宋_GB2312" w:hAnsi="仿宋_GB2312" w:eastAsia="仿宋_GB2312"/>
          <w:b/>
          <w:bCs/>
          <w:sz w:val="32"/>
          <w:lang w:val="en-US" w:eastAsia="zh-CN"/>
        </w:rPr>
        <w:t>第二条</w:t>
      </w:r>
      <w:r>
        <w:rPr>
          <w:rFonts w:hint="eastAsia" w:ascii="仿宋_GB2312" w:hAnsi="仿宋_GB2312" w:eastAsia="仿宋_GB2312"/>
          <w:sz w:val="32"/>
          <w:lang w:val="en-US" w:eastAsia="zh-CN"/>
        </w:rPr>
        <w:t xml:space="preserve">  约束办法</w:t>
      </w:r>
    </w:p>
    <w:p w14:paraId="5EBF8A0F">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&lt;一&gt;对承包到户的林地，抛荒失管一年的，村民小组给予批评教育，抛荒失管两年的，村组收回其承包经营权重新发包。</w:t>
      </w:r>
    </w:p>
    <w:p w14:paraId="1B614406">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lt;二&gt;集体分给农户的自留山、责任山和集体公益林都是作为发展林木的范围，农户、集体除了每年用柴、用木料外，都要积极发展树木，任何人没有正当手续，不得在自留山、责任山、公益林范围内开垦种地，违者，按每亩收资源损失费1000-2000元，并一次性收违约金1000-2000元。乱砍古树</w:t>
      </w:r>
      <w:r>
        <w:rPr>
          <w:rFonts w:hint="eastAsia" w:ascii="宋体" w:hAnsi="宋体" w:eastAsia="宋体" w:cs="宋体"/>
          <w:sz w:val="32"/>
          <w:lang w:val="en-US" w:eastAsia="zh-CN"/>
        </w:rPr>
        <w:t>、</w:t>
      </w:r>
      <w:r>
        <w:rPr>
          <w:rFonts w:hint="eastAsia" w:ascii="仿宋_GB2312" w:hAnsi="仿宋_GB2312" w:eastAsia="仿宋_GB2312"/>
          <w:sz w:val="32"/>
          <w:lang w:val="en-US" w:eastAsia="zh-CN"/>
        </w:rPr>
        <w:t>风景林树木的收一次性违约金2000元/棵，乱砍水源林树木的收一次性违约金1000元/棵，乱砍公益林树木的收一次性违约金100-1000元/棵。</w:t>
      </w:r>
    </w:p>
    <w:p w14:paraId="4889F003">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&lt;三&gt;农户在本规定以前在自留山、责任山、公益林范围内开垦种地的，有集体同意丈量验收，拿入集体面积统一安排，根据情况，不适合种粮或甘蔗的，要限期</w:t>
      </w:r>
      <w:bookmarkStart w:id="1" w:name="_GoBack"/>
      <w:bookmarkEnd w:id="1"/>
      <w:r>
        <w:rPr>
          <w:rFonts w:hint="eastAsia" w:ascii="仿宋_GB2312" w:hAnsi="仿宋_GB2312" w:eastAsia="仿宋_GB2312"/>
          <w:sz w:val="32"/>
          <w:lang w:val="en-US" w:eastAsia="zh-CN"/>
        </w:rPr>
        <w:t>整改复耕，在规定范围内不能开垦而开垦的农户，一律收回自留山、责任山土地面积。</w:t>
      </w:r>
    </w:p>
    <w:p w14:paraId="162AD36E">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&lt;四&gt;在集体林区乱砍、偷砍树木的，一次性收违约金100元；乱砍柴火的除了收违约金外，还要没收所砍的柴火，提供运输工具者，一次性收违约金300元，并没收所有木料。</w:t>
      </w:r>
    </w:p>
    <w:p w14:paraId="378951BD">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&lt;五&gt;因生活、生产用火烧毁森林的作如下规定：</w:t>
      </w:r>
    </w:p>
    <w:p w14:paraId="6831C22F">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1、松树林、人工造林、经济林被烧的要按实际损失折价赔偿，并一次性收违约金500-2000元。</w:t>
      </w:r>
    </w:p>
    <w:p w14:paraId="79ECBF7C">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2、杂木林被烧的每亩赔偿100元，并一次性收违约金200元。</w:t>
      </w:r>
    </w:p>
    <w:p w14:paraId="0C553627">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3、被烧的面积在50-100亩以上报上级主管部门处理，无论是松树林，还是杂木林被烧，除了赔偿外，都要限期还林，还承担灭火人员的误工费&lt;每人每天</w:t>
      </w:r>
      <w:r>
        <w:rPr>
          <w:rFonts w:hint="eastAsia" w:ascii="仿宋_GB2312" w:hAnsi="仿宋_GB2312" w:eastAsia="仿宋_GB2312"/>
          <w:i w:val="0"/>
          <w:iCs w:val="0"/>
          <w:sz w:val="32"/>
          <w:u w:val="none" w:color="auto"/>
          <w:lang w:val="en-US" w:eastAsia="zh-CN"/>
        </w:rPr>
        <w:t>100</w:t>
      </w:r>
      <w:r>
        <w:rPr>
          <w:rFonts w:hint="eastAsia" w:ascii="仿宋_GB2312" w:hAnsi="仿宋_GB2312" w:eastAsia="仿宋_GB2312"/>
          <w:sz w:val="32"/>
          <w:lang w:val="en-US" w:eastAsia="zh-CN"/>
        </w:rPr>
        <w:t>元&gt;。</w:t>
      </w:r>
    </w:p>
    <w:p w14:paraId="7D4E5B92">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&lt;六&gt;其他规定</w:t>
      </w:r>
    </w:p>
    <w:p w14:paraId="36BC9C8B">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1、每年的护林防火期间各组在组长的组织领导下，组建护林防火队，防防火。自留山，责任山，承包到户的经济林防护责任到户。</w:t>
      </w:r>
    </w:p>
    <w:p w14:paraId="5DADE6CD">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2、农户在自家自留山、责任山自用或砍伐商品木材的，必须办理手续方可砍伐。</w:t>
      </w:r>
    </w:p>
    <w:p w14:paraId="6856841D">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3、各组划分到户的水源林，县以上划定的公益林按照相关规定只能由集体统一经营管理，不能私自流转处置。</w:t>
      </w:r>
    </w:p>
    <w:p w14:paraId="51851A8C">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sz w:val="32"/>
          <w:lang w:val="en-US" w:eastAsia="zh-CN"/>
        </w:rPr>
      </w:pPr>
    </w:p>
    <w:p w14:paraId="48510691">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firstLine="0" w:firstLineChars="0"/>
        <w:jc w:val="both"/>
        <w:textAlignment w:val="auto"/>
        <w:outlineLvl w:val="9"/>
        <w:rPr>
          <w:rFonts w:hint="eastAsia" w:ascii="仿宋_GB2312" w:hAnsi="仿宋_GB2312" w:eastAsia="仿宋_GB2312"/>
          <w:sz w:val="44"/>
          <w:lang w:val="en-US" w:eastAsia="zh-CN"/>
        </w:rPr>
      </w:pPr>
      <w:r>
        <w:rPr>
          <w:rFonts w:hint="eastAsia" w:ascii="仿宋_GB2312" w:hAnsi="仿宋_GB2312" w:eastAsia="仿宋_GB2312"/>
          <w:sz w:val="32"/>
          <w:lang w:val="en-US" w:eastAsia="zh-CN"/>
        </w:rPr>
        <w:t xml:space="preserve">         </w:t>
      </w:r>
      <w:r>
        <w:rPr>
          <w:rFonts w:hint="eastAsia" w:ascii="仿宋_GB2312" w:hAnsi="仿宋_GB2312" w:eastAsia="仿宋_GB2312"/>
          <w:sz w:val="44"/>
          <w:lang w:val="en-US" w:eastAsia="zh-CN"/>
        </w:rPr>
        <w:t xml:space="preserve">     </w:t>
      </w:r>
    </w:p>
    <w:p w14:paraId="24D2118D">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firstLine="0" w:firstLineChars="0"/>
        <w:jc w:val="both"/>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44"/>
          <w:lang w:val="en-US" w:eastAsia="zh-CN"/>
        </w:rPr>
        <w:t xml:space="preserve">            </w:t>
      </w:r>
      <w:r>
        <w:rPr>
          <w:rFonts w:hint="eastAsia" w:ascii="仿宋_GB2312" w:hAnsi="仿宋_GB2312" w:eastAsia="仿宋_GB2312"/>
          <w:b/>
          <w:bCs/>
          <w:sz w:val="44"/>
          <w:lang w:val="en-US" w:eastAsia="zh-CN"/>
        </w:rPr>
        <w:t xml:space="preserve"> 第五章 水电交通</w:t>
      </w:r>
    </w:p>
    <w:p w14:paraId="0C5E5AFD">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w:t>
      </w:r>
    </w:p>
    <w:p w14:paraId="4763518C">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firstLine="638" w:firstLineChars="200"/>
        <w:jc w:val="left"/>
        <w:textAlignment w:val="auto"/>
        <w:outlineLvl w:val="9"/>
        <w:rPr>
          <w:rFonts w:hint="eastAsia" w:ascii="仿宋_GB2312" w:hAnsi="仿宋_GB2312" w:eastAsia="仿宋_GB2312"/>
          <w:sz w:val="32"/>
          <w:lang w:val="en-US" w:eastAsia="zh-CN"/>
        </w:rPr>
      </w:pPr>
      <w:r>
        <w:rPr>
          <w:rFonts w:hint="eastAsia" w:ascii="仿宋_GB2312" w:hAnsi="仿宋_GB2312" w:eastAsia="仿宋_GB2312"/>
          <w:b/>
          <w:bCs/>
          <w:sz w:val="32"/>
          <w:lang w:val="en-US" w:eastAsia="zh-CN"/>
        </w:rPr>
        <w:t>第一条</w:t>
      </w:r>
      <w:r>
        <w:rPr>
          <w:rFonts w:hint="eastAsia" w:ascii="仿宋_GB2312" w:hAnsi="仿宋_GB2312" w:eastAsia="仿宋_GB2312"/>
          <w:sz w:val="32"/>
          <w:lang w:val="en-US" w:eastAsia="zh-CN"/>
        </w:rPr>
        <w:t xml:space="preserve">  水利和交通</w:t>
      </w:r>
    </w:p>
    <w:p w14:paraId="26421E08">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firstLine="638" w:firstLineChars="200"/>
        <w:jc w:val="left"/>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lt;一&gt;水利和交通是发展农业和发展经济及生活必需的命脉。每个村民都要自觉地爱护水利、交通设施、严禁在水沟、公路上下50米内开垦种地，乱砍树木，违者，按乱砍树、乱开垦处理，并收一次性违约金300元。发生塌方必须在2天清理，如果2天内没有清理，收一次性违约金500-1000元。</w:t>
      </w:r>
    </w:p>
    <w:p w14:paraId="1BDAD7CD">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firstLine="638" w:firstLineChars="200"/>
        <w:jc w:val="left"/>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&lt;二&gt;严禁在公路边及路面长期乱推柴火、石头，违者，造成交通事故的，除了承担全部经济损失外，收一次性违约金500元。</w:t>
      </w:r>
    </w:p>
    <w:p w14:paraId="000DFE59">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firstLine="638" w:firstLineChars="200"/>
        <w:jc w:val="left"/>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&lt;三&gt;在蔗区道路内种甘蔗收一次性违约金300-500元，由村民小组自行处理。</w:t>
      </w:r>
    </w:p>
    <w:p w14:paraId="59140DEC">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firstLine="638" w:firstLineChars="200"/>
        <w:jc w:val="left"/>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&lt;四&gt;蔗区道路在榨季到一个月前各组组织维修好，违者，每条收一次性违约金200元。</w:t>
      </w:r>
    </w:p>
    <w:p w14:paraId="0F3B62FD">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firstLine="638" w:firstLineChars="200"/>
        <w:jc w:val="left"/>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&lt;五&gt;如有一事一议任务，由村组统一组织全村机动车辆及驾驶员无偿义务。</w:t>
      </w:r>
    </w:p>
    <w:p w14:paraId="4EEF750A">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firstLine="638" w:firstLineChars="200"/>
        <w:jc w:val="left"/>
        <w:textAlignment w:val="auto"/>
        <w:outlineLvl w:val="9"/>
        <w:rPr>
          <w:rFonts w:hint="eastAsia" w:ascii="仿宋_GB2312" w:hAnsi="仿宋_GB2312" w:eastAsia="仿宋_GB2312"/>
          <w:sz w:val="32"/>
          <w:lang w:val="en-US" w:eastAsia="zh-CN"/>
        </w:rPr>
      </w:pPr>
      <w:r>
        <w:rPr>
          <w:rFonts w:hint="eastAsia" w:ascii="仿宋_GB2312" w:hAnsi="仿宋_GB2312" w:eastAsia="仿宋_GB2312"/>
          <w:b/>
          <w:bCs/>
          <w:sz w:val="32"/>
          <w:lang w:val="en-US" w:eastAsia="zh-CN"/>
        </w:rPr>
        <w:t xml:space="preserve">第二条 </w:t>
      </w:r>
      <w:r>
        <w:rPr>
          <w:rFonts w:hint="eastAsia" w:ascii="仿宋_GB2312" w:hAnsi="仿宋_GB2312" w:eastAsia="仿宋_GB2312"/>
          <w:sz w:val="32"/>
          <w:lang w:val="en-US" w:eastAsia="zh-CN"/>
        </w:rPr>
        <w:t>电力通信</w:t>
      </w:r>
    </w:p>
    <w:p w14:paraId="3F650801">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firstLine="638" w:firstLineChars="200"/>
        <w:jc w:val="left"/>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&lt;一&gt;每个村民要自觉地维护电力、通信线路，严禁在电线、通信线路旁种竹子、种树，不得阻止电工、电话员清理线路工作，违者，赔偿一切损失，并收一次性违约金500元。</w:t>
      </w:r>
    </w:p>
    <w:p w14:paraId="59DFCE5E">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firstLine="638" w:firstLineChars="200"/>
        <w:jc w:val="left"/>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&lt;二&gt;禁止非电工人员乱接电，违者，收违约金300元；引起火灾，触电事故的由乱接电者承担全部责任。</w:t>
      </w:r>
    </w:p>
    <w:p w14:paraId="4650A280">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firstLine="638" w:firstLineChars="200"/>
        <w:jc w:val="left"/>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&lt;三&gt;在线路旁砍树、砍竹子及其他作业损坏线路者，除了承担损失责任外，一次性收违约金100-500元。</w:t>
      </w:r>
    </w:p>
    <w:p w14:paraId="21D4F19F">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firstLine="638" w:firstLineChars="200"/>
        <w:jc w:val="left"/>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&lt;四&gt;电管员，给农户接（安）新电线表，每次收费30元，并当场一次性兑现，拖交者加收一倍。如请电管员安装、维修用电设备，连续叫两次不上门工作，收违约金50元。</w:t>
      </w:r>
    </w:p>
    <w:p w14:paraId="648C38E4">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firstLine="638" w:firstLineChars="200"/>
        <w:jc w:val="left"/>
        <w:textAlignment w:val="auto"/>
        <w:outlineLvl w:val="9"/>
        <w:rPr>
          <w:rFonts w:hint="eastAsia" w:ascii="仿宋_GB2312" w:hAnsi="仿宋_GB2312" w:eastAsia="仿宋_GB2312"/>
          <w:sz w:val="32"/>
          <w:lang w:val="en-US" w:eastAsia="zh-CN"/>
        </w:rPr>
      </w:pPr>
    </w:p>
    <w:p w14:paraId="74A62F5A">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firstLine="0" w:firstLineChars="0"/>
        <w:jc w:val="center"/>
        <w:textAlignment w:val="auto"/>
        <w:outlineLvl w:val="9"/>
        <w:rPr>
          <w:rFonts w:hint="eastAsia" w:ascii="仿宋_GB2312" w:hAnsi="仿宋_GB2312" w:eastAsia="仿宋_GB2312"/>
          <w:sz w:val="44"/>
          <w:lang w:val="en-US" w:eastAsia="zh-CN"/>
        </w:rPr>
      </w:pPr>
      <w:r>
        <w:rPr>
          <w:rFonts w:hint="eastAsia" w:ascii="仿宋_GB2312" w:hAnsi="仿宋_GB2312" w:eastAsia="仿宋_GB2312"/>
          <w:sz w:val="44"/>
          <w:lang w:val="en-US" w:eastAsia="zh-CN"/>
        </w:rPr>
        <w:t xml:space="preserve"> </w:t>
      </w:r>
    </w:p>
    <w:p w14:paraId="6E720764">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firstLine="0" w:firstLineChars="0"/>
        <w:jc w:val="center"/>
        <w:textAlignment w:val="auto"/>
        <w:outlineLvl w:val="9"/>
        <w:rPr>
          <w:rFonts w:hint="eastAsia" w:ascii="仿宋_GB2312" w:hAnsi="仿宋_GB2312" w:eastAsia="仿宋_GB2312"/>
          <w:sz w:val="44"/>
          <w:lang w:val="en-US" w:eastAsia="zh-CN"/>
        </w:rPr>
      </w:pPr>
    </w:p>
    <w:p w14:paraId="5C32A690">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firstLine="1756" w:firstLineChars="400"/>
        <w:jc w:val="both"/>
        <w:textAlignment w:val="auto"/>
        <w:outlineLvl w:val="9"/>
        <w:rPr>
          <w:rFonts w:hint="eastAsia" w:ascii="仿宋_GB2312" w:hAnsi="仿宋_GB2312" w:eastAsia="仿宋_GB2312"/>
          <w:b/>
          <w:bCs/>
          <w:sz w:val="44"/>
          <w:lang w:val="en-US" w:eastAsia="zh-CN"/>
        </w:rPr>
      </w:pPr>
      <w:r>
        <w:rPr>
          <w:rFonts w:hint="eastAsia" w:ascii="仿宋_GB2312" w:hAnsi="仿宋_GB2312" w:eastAsia="仿宋_GB2312"/>
          <w:b/>
          <w:bCs/>
          <w:sz w:val="44"/>
          <w:lang w:val="en-US" w:eastAsia="zh-CN"/>
        </w:rPr>
        <w:t xml:space="preserve">第六章综合行政管理   </w:t>
      </w:r>
    </w:p>
    <w:p w14:paraId="1613FF0A">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firstLine="878" w:firstLineChars="200"/>
        <w:jc w:val="left"/>
        <w:textAlignment w:val="auto"/>
        <w:outlineLvl w:val="9"/>
        <w:rPr>
          <w:rFonts w:hint="eastAsia" w:ascii="仿宋_GB2312" w:hAnsi="仿宋_GB2312" w:eastAsia="仿宋_GB2312"/>
          <w:b/>
          <w:bCs/>
          <w:sz w:val="44"/>
          <w:lang w:val="en-US" w:eastAsia="zh-CN"/>
        </w:rPr>
      </w:pPr>
    </w:p>
    <w:p w14:paraId="334FB143">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sz w:val="32"/>
          <w:lang w:val="en-US" w:eastAsia="zh-CN"/>
        </w:rPr>
      </w:pPr>
      <w:r>
        <w:rPr>
          <w:rFonts w:hint="eastAsia" w:ascii="仿宋_GB2312" w:hAnsi="仿宋_GB2312" w:eastAsia="仿宋_GB2312"/>
          <w:b/>
          <w:bCs/>
          <w:sz w:val="32"/>
          <w:lang w:val="en-US" w:eastAsia="zh-CN"/>
        </w:rPr>
        <w:t xml:space="preserve">    第一条 </w:t>
      </w:r>
      <w:r>
        <w:rPr>
          <w:rFonts w:hint="eastAsia" w:ascii="仿宋_GB2312" w:hAnsi="仿宋_GB2312" w:eastAsia="仿宋_GB2312"/>
          <w:sz w:val="32"/>
          <w:lang w:val="en-US" w:eastAsia="zh-CN"/>
        </w:rPr>
        <w:t>人口管理涉及到社会秩序稳定和经济发展大计，为了搞好人口管理特作如下规定:</w:t>
      </w:r>
    </w:p>
    <w:p w14:paraId="20E66DB5">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lt;一&gt;外籍华人和边民因婚姻，生产投靠亲戚或者其他活动的人员要求在本村落户的，必须持有县级主管部门的证明并收1000元的落户费，否则，不给于办理；本人确实认为有必要落户的，而且是空户头的，必须交落户费一次性10000元，该项收款组集体50%、村委会50%。本村村民补漏户口收取2000元的手续费。</w:t>
      </w:r>
    </w:p>
    <w:p w14:paraId="2573066A">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lt;二&gt;以前从本村出去参加工作的干部、职工，因退职、下岗等原因，要求在本村组落户的干部、职工、退职人员需收取500元每人落户费，不享有村内一切待遇，下岗人员不收任何费用，且下岗人员根据原组实际情况分给一定的土地面积。</w:t>
      </w:r>
    </w:p>
    <w:p w14:paraId="3267F483">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&lt;三&gt;凡是在本村范围内的常住户口、暂住户口生育或死亡的，都必须在五天以内登记注销，暂住户交管理费20元；不是本村人口死亡需要安葬在本村的需交纳土地费3000元。</w:t>
      </w:r>
    </w:p>
    <w:p w14:paraId="17F87F4D">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&lt;四&gt;在本村暂住一年或一年以上的人员每人每月交管理费20元。本村的妇女、男性因婚姻不办理迁移户口手续的满三个月后每人每年需交200元管理费。</w:t>
      </w:r>
    </w:p>
    <w:p w14:paraId="17D85F30">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&lt;五&gt;因由本人原因把户籍遗失需补办户口的要交纳补办户口手续费100元，该项收款村组各得50元。</w:t>
      </w:r>
    </w:p>
    <w:p w14:paraId="3CDBDE78">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w:t>
      </w:r>
      <w:r>
        <w:rPr>
          <w:rFonts w:hint="eastAsia" w:ascii="仿宋_GB2312" w:hAnsi="仿宋_GB2312" w:eastAsia="仿宋_GB2312"/>
          <w:b/>
          <w:bCs/>
          <w:sz w:val="32"/>
          <w:lang w:val="en-US" w:eastAsia="zh-CN"/>
        </w:rPr>
        <w:t xml:space="preserve"> 第二条 </w:t>
      </w:r>
      <w:r>
        <w:rPr>
          <w:rFonts w:hint="eastAsia" w:ascii="仿宋_GB2312" w:hAnsi="仿宋_GB2312" w:eastAsia="仿宋_GB2312"/>
          <w:sz w:val="32"/>
          <w:lang w:val="en-US" w:eastAsia="zh-CN"/>
        </w:rPr>
        <w:t xml:space="preserve">  计划生育是我国的基本国策，每个村民都要自觉地遵守计划生育政策，违者，按下列规定处理：</w:t>
      </w:r>
    </w:p>
    <w:p w14:paraId="539B39E9">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firstLine="640"/>
        <w:jc w:val="left"/>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lt;一&gt;一对夫妇只能生育两个小孩，多者视为超生（除两个小孩低能或是残疾并在国家政策允许的情况下可以申请多生），超生一胎收一次性计划外怀孕费500元，并收一次性违约金200000元，父母一律不给土地面积；外地人员在本村超生一胎收一次性计划外怀孕费1000元，并收一次性违约金200000元。超生违约金必须在小孩出生十五天以内交清。</w:t>
      </w:r>
    </w:p>
    <w:p w14:paraId="554EF19C">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right="-104" w:rightChars="-50"/>
        <w:jc w:val="left"/>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&lt;二&gt;</w:t>
      </w:r>
      <w:r>
        <w:rPr>
          <w:rFonts w:hint="eastAsia" w:ascii="仿宋_GB2312" w:hAnsi="仿宋_GB2312" w:eastAsia="仿宋_GB2312"/>
          <w:sz w:val="32"/>
          <w:u w:val="none" w:color="auto"/>
          <w:lang w:val="en-US" w:eastAsia="zh-CN"/>
        </w:rPr>
        <w:t>婚前</w:t>
      </w:r>
      <w:r>
        <w:rPr>
          <w:rFonts w:hint="eastAsia" w:ascii="仿宋_GB2312" w:hAnsi="仿宋_GB2312" w:eastAsia="仿宋_GB2312"/>
          <w:sz w:val="32"/>
          <w:lang w:val="en-US" w:eastAsia="zh-CN"/>
        </w:rPr>
        <w:t>怀孕者，收一次性违约金300元，</w:t>
      </w:r>
      <w:r>
        <w:rPr>
          <w:rFonts w:hint="eastAsia" w:ascii="仿宋_GB2312" w:hAnsi="仿宋_GB2312" w:eastAsia="仿宋_GB2312"/>
          <w:b w:val="0"/>
          <w:bCs w:val="0"/>
          <w:color w:val="auto"/>
          <w:sz w:val="32"/>
          <w:lang w:val="en-US" w:eastAsia="zh-CN"/>
        </w:rPr>
        <w:t>领证后不办理准生证者，视为无证生育，</w:t>
      </w:r>
      <w:r>
        <w:rPr>
          <w:rFonts w:hint="eastAsia" w:ascii="仿宋_GB2312" w:hAnsi="仿宋_GB2312" w:eastAsia="仿宋_GB2312"/>
          <w:sz w:val="32"/>
          <w:lang w:val="en-US" w:eastAsia="zh-CN"/>
        </w:rPr>
        <w:t>收社会治理违约金</w:t>
      </w:r>
      <w:r>
        <w:rPr>
          <w:rFonts w:hint="eastAsia" w:ascii="仿宋_GB2312" w:hAnsi="仿宋_GB2312" w:eastAsia="仿宋_GB2312"/>
          <w:sz w:val="32"/>
          <w:u w:val="none" w:color="auto"/>
          <w:lang w:val="en-US" w:eastAsia="zh-CN"/>
        </w:rPr>
        <w:t>4000</w:t>
      </w:r>
      <w:r>
        <w:rPr>
          <w:rFonts w:hint="eastAsia" w:ascii="仿宋_GB2312" w:hAnsi="仿宋_GB2312" w:eastAsia="仿宋_GB2312"/>
          <w:sz w:val="32"/>
          <w:lang w:val="en-US" w:eastAsia="zh-CN"/>
        </w:rPr>
        <w:t>元。本村民未婚生育第一胎收一次性违约金20000元，第二胎收一次性违约金60000元，外地人员违反此款加2倍收取。</w:t>
      </w:r>
    </w:p>
    <w:p w14:paraId="14406392">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right="-104" w:rightChars="-50"/>
        <w:jc w:val="left"/>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&lt;四&gt;凡是属违法生育的收费，限小孩出生后十五天以内交清，拒交者按其违法款项加罚一倍违约金，行为恶劣者交司法部门处理。</w:t>
      </w:r>
    </w:p>
    <w:p w14:paraId="21341BE7">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b w:val="0"/>
          <w:bCs w:val="0"/>
          <w:sz w:val="32"/>
          <w:lang w:val="en-US" w:eastAsia="zh-CN"/>
        </w:rPr>
      </w:pPr>
      <w:r>
        <w:rPr>
          <w:rFonts w:hint="eastAsia" w:ascii="仿宋_GB2312" w:hAnsi="仿宋_GB2312" w:eastAsia="仿宋_GB2312"/>
          <w:sz w:val="32"/>
          <w:lang w:val="en-US" w:eastAsia="zh-CN"/>
        </w:rPr>
        <w:t xml:space="preserve">   &lt;五&gt;对于符合政策生育第二个子女但未在生育子女前登记办理《生育证》的，可以在子女出生三个月内进行补办，未补办的也不再实施行政处罚；但如果不办理《生育证》的，在办理户口和生育保险、报账的就不得办理。</w:t>
      </w:r>
    </w:p>
    <w:p w14:paraId="3E8659D2">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sz w:val="32"/>
          <w:lang w:val="en-US" w:eastAsia="zh-CN"/>
        </w:rPr>
      </w:pPr>
      <w:r>
        <w:rPr>
          <w:rFonts w:hint="eastAsia" w:ascii="仿宋_GB2312" w:hAnsi="仿宋_GB2312" w:eastAsia="仿宋_GB2312"/>
          <w:b/>
          <w:bCs/>
          <w:sz w:val="32"/>
          <w:lang w:val="en-US" w:eastAsia="zh-CN"/>
        </w:rPr>
        <w:t xml:space="preserve">   第三条</w:t>
      </w:r>
      <w:r>
        <w:rPr>
          <w:rFonts w:hint="eastAsia" w:ascii="仿宋_GB2312" w:hAnsi="仿宋_GB2312" w:eastAsia="仿宋_GB2312"/>
          <w:sz w:val="32"/>
          <w:lang w:val="en-US" w:eastAsia="zh-CN"/>
        </w:rPr>
        <w:t xml:space="preserve">  一夫一妻是《中华人民共和国婚姻法》的规定，未办理离婚与第三者确立夫妻关系的视为重婚，报上级主管部门追究刑事责任。未婚男女志愿登记结婚的，男性年龄要达到二十二周岁，女性年龄要达到二十周岁，否则，拒于办理。重婚者，除上级主管部门追究刑事责任外，并处罚10000元；发生不正当男女关系者，收一次性社会治理违约金每人10000元。离婚者，扰乱社会秩序，收一次性违约金每人2000元。</w:t>
      </w:r>
    </w:p>
    <w:p w14:paraId="3001275D">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sz w:val="32"/>
          <w:lang w:val="en-US" w:eastAsia="zh-CN"/>
        </w:rPr>
      </w:pPr>
    </w:p>
    <w:p w14:paraId="4AD34005">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b/>
          <w:bCs/>
          <w:sz w:val="44"/>
          <w:lang w:val="en-US" w:eastAsia="zh-CN"/>
        </w:rPr>
      </w:pPr>
      <w:r>
        <w:rPr>
          <w:rFonts w:hint="eastAsia" w:ascii="仿宋_GB2312" w:hAnsi="仿宋_GB2312" w:eastAsia="仿宋_GB2312"/>
          <w:b/>
          <w:bCs/>
          <w:sz w:val="32"/>
          <w:lang w:val="en-US" w:eastAsia="zh-CN"/>
        </w:rPr>
        <w:t xml:space="preserve">        </w:t>
      </w:r>
      <w:r>
        <w:rPr>
          <w:rFonts w:hint="eastAsia" w:ascii="仿宋_GB2312" w:hAnsi="仿宋_GB2312" w:eastAsia="仿宋_GB2312"/>
          <w:b/>
          <w:bCs/>
          <w:sz w:val="44"/>
          <w:lang w:val="en-US" w:eastAsia="zh-CN"/>
        </w:rPr>
        <w:t>第七章关于社会治安管理的规定</w:t>
      </w:r>
    </w:p>
    <w:p w14:paraId="50F19646">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b/>
          <w:bCs/>
          <w:sz w:val="44"/>
          <w:lang w:val="en-US" w:eastAsia="zh-CN"/>
        </w:rPr>
      </w:pPr>
    </w:p>
    <w:p w14:paraId="0E5528C6">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b w:val="0"/>
          <w:bCs w:val="0"/>
          <w:sz w:val="32"/>
          <w:lang w:val="en-US" w:eastAsia="zh-CN"/>
        </w:rPr>
      </w:pPr>
      <w:r>
        <w:rPr>
          <w:rFonts w:hint="eastAsia" w:ascii="仿宋_GB2312" w:hAnsi="仿宋_GB2312" w:eastAsia="仿宋_GB2312"/>
          <w:b w:val="0"/>
          <w:bCs w:val="0"/>
          <w:sz w:val="32"/>
          <w:lang w:val="en-US" w:eastAsia="zh-CN"/>
        </w:rPr>
        <w:t xml:space="preserve"> </w:t>
      </w:r>
      <w:r>
        <w:rPr>
          <w:rFonts w:hint="eastAsia" w:ascii="仿宋_GB2312" w:hAnsi="仿宋_GB2312" w:eastAsia="仿宋_GB2312"/>
          <w:b/>
          <w:bCs/>
          <w:sz w:val="32"/>
          <w:lang w:val="en-US" w:eastAsia="zh-CN"/>
        </w:rPr>
        <w:t xml:space="preserve">   第一条</w:t>
      </w:r>
      <w:r>
        <w:rPr>
          <w:rFonts w:hint="eastAsia" w:ascii="仿宋_GB2312" w:hAnsi="仿宋_GB2312" w:eastAsia="仿宋_GB2312"/>
          <w:b w:val="0"/>
          <w:bCs w:val="0"/>
          <w:sz w:val="32"/>
          <w:lang w:val="en-US" w:eastAsia="zh-CN"/>
        </w:rPr>
        <w:t xml:space="preserve"> 盗窃行为，18岁以下的进行教育处理、归还物品，18岁以上的除照价赔偿外，以如下情节为据，收取违约金；情节严重的报司法部门处理。</w:t>
      </w:r>
    </w:p>
    <w:p w14:paraId="0B03D995">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b w:val="0"/>
          <w:bCs w:val="0"/>
          <w:sz w:val="32"/>
          <w:lang w:val="en-US" w:eastAsia="zh-CN"/>
        </w:rPr>
      </w:pPr>
      <w:r>
        <w:rPr>
          <w:rFonts w:hint="eastAsia" w:ascii="仿宋_GB2312" w:hAnsi="仿宋_GB2312" w:eastAsia="仿宋_GB2312"/>
          <w:b w:val="0"/>
          <w:bCs w:val="0"/>
          <w:sz w:val="32"/>
          <w:lang w:val="en-US" w:eastAsia="zh-CN"/>
        </w:rPr>
        <w:t xml:space="preserve">    &lt;一&gt;偷牲畜、粮食、钱、物等按现行市场价格赔偿，并收一次性违约金每人每次1000元。</w:t>
      </w:r>
    </w:p>
    <w:p w14:paraId="3107B760">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b w:val="0"/>
          <w:bCs w:val="0"/>
          <w:sz w:val="32"/>
          <w:lang w:val="en-US" w:eastAsia="zh-CN"/>
        </w:rPr>
      </w:pPr>
      <w:r>
        <w:rPr>
          <w:rFonts w:hint="eastAsia" w:ascii="仿宋_GB2312" w:hAnsi="仿宋_GB2312" w:eastAsia="仿宋_GB2312"/>
          <w:b w:val="0"/>
          <w:bCs w:val="0"/>
          <w:sz w:val="32"/>
          <w:lang w:val="en-US" w:eastAsia="zh-CN"/>
        </w:rPr>
        <w:t xml:space="preserve">    &lt;二&gt;偷盗（炸）集体或个人公共设施，除了按现行市场价格赔偿外，并根据情节轻重收一次性违约金每人每次1000-5000元，并报司法部门处理。</w:t>
      </w:r>
    </w:p>
    <w:p w14:paraId="75AC99F8">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b w:val="0"/>
          <w:bCs w:val="0"/>
          <w:sz w:val="32"/>
          <w:lang w:val="en-US" w:eastAsia="zh-CN"/>
        </w:rPr>
      </w:pPr>
      <w:r>
        <w:rPr>
          <w:rFonts w:hint="eastAsia" w:ascii="仿宋_GB2312" w:hAnsi="仿宋_GB2312" w:eastAsia="仿宋_GB2312"/>
          <w:b/>
          <w:bCs/>
          <w:sz w:val="32"/>
          <w:lang w:val="en-US" w:eastAsia="zh-CN"/>
        </w:rPr>
        <w:t xml:space="preserve">     第二条 </w:t>
      </w:r>
      <w:r>
        <w:rPr>
          <w:rFonts w:hint="eastAsia" w:ascii="仿宋_GB2312" w:hAnsi="仿宋_GB2312" w:eastAsia="仿宋_GB2312"/>
          <w:b w:val="0"/>
          <w:bCs w:val="0"/>
          <w:sz w:val="32"/>
          <w:lang w:val="en-US" w:eastAsia="zh-CN"/>
        </w:rPr>
        <w:t>综合治安</w:t>
      </w:r>
    </w:p>
    <w:p w14:paraId="70D9EC8C">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b w:val="0"/>
          <w:bCs w:val="0"/>
          <w:sz w:val="32"/>
          <w:lang w:val="en-US" w:eastAsia="zh-CN"/>
        </w:rPr>
      </w:pPr>
      <w:r>
        <w:rPr>
          <w:rFonts w:hint="eastAsia" w:ascii="仿宋_GB2312" w:hAnsi="仿宋_GB2312" w:eastAsia="仿宋_GB2312"/>
          <w:b w:val="0"/>
          <w:bCs w:val="0"/>
          <w:sz w:val="32"/>
          <w:lang w:val="en-US" w:eastAsia="zh-CN"/>
        </w:rPr>
        <w:t xml:space="preserve">    &lt;一&gt;本村内或者到外面结伙打人、酗酒闹事、打架斗殴、扰乱社会治安的，收一次性违约金每人每次500-1000元，并承担全部经济损失（外来人员结伙到本村打架斗殴的收违约金500-1500元），由本村联防队交由司法部门。</w:t>
      </w:r>
    </w:p>
    <w:p w14:paraId="71D202C3">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b w:val="0"/>
          <w:bCs w:val="0"/>
          <w:sz w:val="32"/>
          <w:lang w:val="en-US" w:eastAsia="zh-CN"/>
        </w:rPr>
      </w:pPr>
      <w:r>
        <w:rPr>
          <w:rFonts w:hint="eastAsia" w:ascii="仿宋_GB2312" w:hAnsi="仿宋_GB2312" w:eastAsia="仿宋_GB2312"/>
          <w:b w:val="0"/>
          <w:bCs w:val="0"/>
          <w:sz w:val="32"/>
          <w:lang w:val="en-US" w:eastAsia="zh-CN"/>
        </w:rPr>
        <w:t xml:space="preserve">     &lt;二&gt;吸毒、赌博、嫖娼、提供场所者每次收一次性违约</w:t>
      </w:r>
      <w:r>
        <w:rPr>
          <w:rFonts w:hint="eastAsia" w:ascii="仿宋_GB2312" w:hAnsi="仿宋_GB2312" w:eastAsia="仿宋_GB2312"/>
          <w:b w:val="0"/>
          <w:bCs w:val="0"/>
          <w:color w:val="auto"/>
          <w:sz w:val="32"/>
          <w:lang w:val="en-US" w:eastAsia="zh-CN"/>
        </w:rPr>
        <w:t>金</w:t>
      </w:r>
      <w:r>
        <w:rPr>
          <w:rFonts w:hint="eastAsia" w:ascii="仿宋_GB2312" w:hAnsi="仿宋_GB2312" w:eastAsia="仿宋_GB2312"/>
          <w:b w:val="0"/>
          <w:bCs w:val="0"/>
          <w:color w:val="auto"/>
          <w:sz w:val="32"/>
          <w:u w:val="none" w:color="auto"/>
          <w:lang w:val="en-US" w:eastAsia="zh-CN"/>
        </w:rPr>
        <w:t>3000-5000</w:t>
      </w:r>
      <w:r>
        <w:rPr>
          <w:rFonts w:hint="eastAsia" w:ascii="仿宋_GB2312" w:hAnsi="仿宋_GB2312" w:eastAsia="仿宋_GB2312"/>
          <w:b w:val="0"/>
          <w:bCs w:val="0"/>
          <w:sz w:val="32"/>
          <w:lang w:val="en-US" w:eastAsia="zh-CN"/>
        </w:rPr>
        <w:t>元，并没收赌资，参赌者每人每次收一次性违约金</w:t>
      </w:r>
      <w:r>
        <w:rPr>
          <w:rFonts w:hint="eastAsia" w:ascii="仿宋_GB2312" w:hAnsi="仿宋_GB2312" w:eastAsia="仿宋_GB2312"/>
          <w:b w:val="0"/>
          <w:bCs w:val="0"/>
          <w:sz w:val="32"/>
          <w:u w:val="none" w:color="auto"/>
          <w:lang w:val="en-US" w:eastAsia="zh-CN"/>
        </w:rPr>
        <w:t>1000-5000</w:t>
      </w:r>
      <w:r>
        <w:rPr>
          <w:rFonts w:hint="eastAsia" w:ascii="仿宋_GB2312" w:hAnsi="仿宋_GB2312" w:eastAsia="仿宋_GB2312"/>
          <w:b w:val="0"/>
          <w:bCs w:val="0"/>
          <w:color w:val="auto"/>
          <w:sz w:val="32"/>
          <w:u w:val="none" w:color="auto"/>
          <w:lang w:val="en-US" w:eastAsia="zh-CN"/>
        </w:rPr>
        <w:t>元；在本</w:t>
      </w:r>
      <w:r>
        <w:rPr>
          <w:rFonts w:hint="eastAsia" w:ascii="仿宋_GB2312" w:hAnsi="仿宋_GB2312" w:eastAsia="仿宋_GB2312"/>
          <w:b w:val="0"/>
          <w:bCs w:val="0"/>
          <w:sz w:val="32"/>
          <w:lang w:val="en-US" w:eastAsia="zh-CN"/>
        </w:rPr>
        <w:t>村买卖字花者，每人每次收违约金</w:t>
      </w:r>
      <w:r>
        <w:rPr>
          <w:rFonts w:hint="eastAsia" w:ascii="仿宋_GB2312" w:hAnsi="仿宋_GB2312" w:eastAsia="仿宋_GB2312"/>
          <w:b w:val="0"/>
          <w:bCs w:val="0"/>
          <w:sz w:val="32"/>
          <w:u w:val="none" w:color="auto"/>
          <w:lang w:val="en-US" w:eastAsia="zh-CN"/>
        </w:rPr>
        <w:t>1000-10000</w:t>
      </w:r>
      <w:r>
        <w:rPr>
          <w:rFonts w:hint="eastAsia" w:ascii="仿宋_GB2312" w:hAnsi="仿宋_GB2312" w:eastAsia="仿宋_GB2312"/>
          <w:b w:val="0"/>
          <w:bCs w:val="0"/>
          <w:sz w:val="32"/>
          <w:lang w:val="en-US" w:eastAsia="zh-CN"/>
        </w:rPr>
        <w:t>元。</w:t>
      </w:r>
      <w:r>
        <w:rPr>
          <w:rFonts w:hint="eastAsia" w:ascii="仿宋_GB2312" w:hAnsi="仿宋_GB2312" w:eastAsia="仿宋_GB2312"/>
          <w:b w:val="0"/>
          <w:bCs w:val="0"/>
          <w:color w:val="auto"/>
          <w:sz w:val="32"/>
          <w:lang w:val="en-US" w:eastAsia="zh-CN"/>
        </w:rPr>
        <w:t>组干部、党员参与加罚一倍</w:t>
      </w:r>
      <w:r>
        <w:rPr>
          <w:rFonts w:hint="eastAsia" w:ascii="仿宋_GB2312" w:hAnsi="仿宋_GB2312" w:eastAsia="仿宋_GB2312"/>
          <w:b w:val="0"/>
          <w:bCs w:val="0"/>
          <w:color w:val="FF00FF"/>
          <w:sz w:val="32"/>
          <w:lang w:val="en-US" w:eastAsia="zh-CN"/>
        </w:rPr>
        <w:t>，</w:t>
      </w:r>
      <w:r>
        <w:rPr>
          <w:rFonts w:hint="eastAsia" w:ascii="仿宋_GB2312" w:hAnsi="仿宋_GB2312" w:eastAsia="仿宋_GB2312"/>
          <w:b w:val="0"/>
          <w:bCs w:val="0"/>
          <w:color w:val="auto"/>
          <w:sz w:val="32"/>
          <w:lang w:val="en-US" w:eastAsia="zh-CN"/>
        </w:rPr>
        <w:t>拒绝</w:t>
      </w:r>
      <w:r>
        <w:rPr>
          <w:rFonts w:hint="eastAsia" w:ascii="仿宋_GB2312" w:hAnsi="仿宋_GB2312" w:eastAsia="仿宋_GB2312"/>
          <w:b w:val="0"/>
          <w:bCs w:val="0"/>
          <w:sz w:val="32"/>
          <w:lang w:val="en-US" w:eastAsia="zh-CN"/>
        </w:rPr>
        <w:t>不交者由村</w:t>
      </w:r>
      <w:r>
        <w:rPr>
          <w:rFonts w:hint="eastAsia" w:ascii="仿宋_GB2312" w:hAnsi="仿宋_GB2312" w:eastAsia="仿宋_GB2312"/>
          <w:b w:val="0"/>
          <w:bCs w:val="0"/>
          <w:color w:val="auto"/>
          <w:sz w:val="32"/>
          <w:u w:val="none" w:color="auto"/>
          <w:lang w:val="en-US" w:eastAsia="zh-CN"/>
        </w:rPr>
        <w:t>、组干部</w:t>
      </w:r>
      <w:r>
        <w:rPr>
          <w:rFonts w:hint="eastAsia" w:ascii="仿宋_GB2312" w:hAnsi="仿宋_GB2312" w:eastAsia="仿宋_GB2312"/>
          <w:b w:val="0"/>
          <w:bCs w:val="0"/>
          <w:sz w:val="32"/>
          <w:lang w:val="en-US" w:eastAsia="zh-CN"/>
        </w:rPr>
        <w:t>送交派出所处理。</w:t>
      </w:r>
    </w:p>
    <w:p w14:paraId="3309D2D8">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b w:val="0"/>
          <w:bCs w:val="0"/>
          <w:sz w:val="32"/>
          <w:lang w:val="en-US" w:eastAsia="zh-CN"/>
        </w:rPr>
      </w:pPr>
      <w:r>
        <w:rPr>
          <w:rFonts w:hint="eastAsia" w:ascii="仿宋_GB2312" w:hAnsi="仿宋_GB2312" w:eastAsia="仿宋_GB2312"/>
          <w:b w:val="0"/>
          <w:bCs w:val="0"/>
          <w:sz w:val="32"/>
          <w:lang w:val="en-US" w:eastAsia="zh-CN"/>
        </w:rPr>
        <w:t xml:space="preserve">     &lt;三&gt;不满18周岁的本村村民，不得驾驶机动车辆，违者处罚100元（驾驶机动车辆者，应取得机动车驾驶证）；在村内超速驾驶机动车辆（原则上超过40码的为超速），违者处罚200元。</w:t>
      </w:r>
    </w:p>
    <w:p w14:paraId="75BD1BC9">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b w:val="0"/>
          <w:bCs w:val="0"/>
          <w:sz w:val="32"/>
          <w:lang w:val="en-US" w:eastAsia="zh-CN"/>
        </w:rPr>
      </w:pPr>
      <w:r>
        <w:rPr>
          <w:rFonts w:hint="eastAsia" w:ascii="仿宋_GB2312" w:hAnsi="仿宋_GB2312" w:eastAsia="仿宋_GB2312"/>
          <w:b w:val="0"/>
          <w:bCs w:val="0"/>
          <w:sz w:val="32"/>
          <w:lang w:val="en-US" w:eastAsia="zh-CN"/>
        </w:rPr>
        <w:t xml:space="preserve">     &lt;四&gt;非法私藏枪支、危险化学、爆炸物品的，收一次性违约金1000元，并没收私藏物（交公安机关）；非法销售伪劣商品者收一次性违约金1000元；并没收其销售的物质；藏毒、走私报司法部门处理。</w:t>
      </w:r>
    </w:p>
    <w:p w14:paraId="70AC2C97">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b w:val="0"/>
          <w:bCs w:val="0"/>
          <w:sz w:val="32"/>
          <w:lang w:val="en-US" w:eastAsia="zh-CN"/>
        </w:rPr>
      </w:pPr>
      <w:r>
        <w:rPr>
          <w:rFonts w:hint="eastAsia" w:ascii="仿宋_GB2312" w:hAnsi="仿宋_GB2312" w:eastAsia="仿宋_GB2312"/>
          <w:b w:val="0"/>
          <w:bCs w:val="0"/>
          <w:sz w:val="32"/>
          <w:lang w:val="en-US" w:eastAsia="zh-CN"/>
        </w:rPr>
        <w:t xml:space="preserve">     &lt;五&gt;在本村范围内组织和参加非法宗教活动、迷信活动，每人每次收一次性违约金1000元。非法建盖宗教活动场所，由村委会组织群众拆除，收一次性违约金3000元，并上报上级相关部门。</w:t>
      </w:r>
    </w:p>
    <w:p w14:paraId="6E3D6122">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b w:val="0"/>
          <w:bCs w:val="0"/>
          <w:sz w:val="32"/>
          <w:lang w:val="en-US" w:eastAsia="zh-CN"/>
        </w:rPr>
      </w:pPr>
      <w:r>
        <w:rPr>
          <w:rFonts w:hint="eastAsia" w:ascii="仿宋_GB2312" w:hAnsi="仿宋_GB2312" w:eastAsia="仿宋_GB2312"/>
          <w:b w:val="0"/>
          <w:bCs w:val="0"/>
          <w:sz w:val="32"/>
          <w:lang w:val="en-US" w:eastAsia="zh-CN"/>
        </w:rPr>
        <w:t xml:space="preserve">     &lt;六&gt;学校正常上课时以及晚上超过十二点后不得放大音乐，大喊大叫，以免影响学校正常教学秩序和村民休息，违者，收一次性违约金每人每次500-1000元。</w:t>
      </w:r>
    </w:p>
    <w:p w14:paraId="615502DD">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b w:val="0"/>
          <w:bCs w:val="0"/>
          <w:sz w:val="32"/>
          <w:lang w:val="en-US" w:eastAsia="zh-CN"/>
        </w:rPr>
      </w:pPr>
    </w:p>
    <w:p w14:paraId="6F65A134">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firstLine="0" w:firstLineChars="0"/>
        <w:jc w:val="center"/>
        <w:textAlignment w:val="auto"/>
        <w:outlineLvl w:val="9"/>
        <w:rPr>
          <w:rFonts w:hint="eastAsia" w:ascii="仿宋_GB2312" w:hAnsi="仿宋_GB2312" w:eastAsia="仿宋_GB2312"/>
          <w:b/>
          <w:bCs/>
          <w:sz w:val="44"/>
          <w:lang w:val="en-US" w:eastAsia="zh-CN"/>
        </w:rPr>
      </w:pPr>
      <w:r>
        <w:rPr>
          <w:rFonts w:hint="eastAsia" w:ascii="仿宋_GB2312" w:hAnsi="仿宋_GB2312" w:eastAsia="仿宋_GB2312"/>
          <w:b/>
          <w:bCs/>
          <w:sz w:val="44"/>
          <w:lang w:val="en-US" w:eastAsia="zh-CN"/>
        </w:rPr>
        <w:t xml:space="preserve">      第八章财务管理</w:t>
      </w:r>
    </w:p>
    <w:p w14:paraId="7A4D95C7">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b w:val="0"/>
          <w:bCs w:val="0"/>
          <w:sz w:val="44"/>
          <w:lang w:val="en-US" w:eastAsia="zh-CN"/>
        </w:rPr>
      </w:pPr>
    </w:p>
    <w:p w14:paraId="73C6BC4D">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b w:val="0"/>
          <w:bCs w:val="0"/>
          <w:sz w:val="32"/>
          <w:lang w:val="en-US" w:eastAsia="zh-CN"/>
        </w:rPr>
      </w:pPr>
      <w:r>
        <w:rPr>
          <w:rFonts w:hint="eastAsia" w:ascii="仿宋_GB2312" w:hAnsi="仿宋_GB2312" w:eastAsia="仿宋_GB2312"/>
          <w:b/>
          <w:bCs/>
          <w:sz w:val="32"/>
          <w:lang w:val="en-US" w:eastAsia="zh-CN"/>
        </w:rPr>
        <w:t xml:space="preserve">    第一条</w:t>
      </w:r>
      <w:r>
        <w:rPr>
          <w:rFonts w:hint="eastAsia" w:ascii="仿宋_GB2312" w:hAnsi="仿宋_GB2312" w:eastAsia="仿宋_GB2312"/>
          <w:b w:val="0"/>
          <w:bCs w:val="0"/>
          <w:sz w:val="32"/>
          <w:lang w:val="en-US" w:eastAsia="zh-CN"/>
        </w:rPr>
        <w:t xml:space="preserve"> 村组财会人员</w:t>
      </w:r>
    </w:p>
    <w:p w14:paraId="19D313B9">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b w:val="0"/>
          <w:bCs w:val="0"/>
          <w:sz w:val="32"/>
          <w:lang w:val="en-US" w:eastAsia="zh-CN"/>
        </w:rPr>
      </w:pPr>
      <w:r>
        <w:rPr>
          <w:rFonts w:hint="eastAsia" w:ascii="仿宋_GB2312" w:hAnsi="仿宋_GB2312" w:eastAsia="仿宋_GB2312"/>
          <w:b w:val="0"/>
          <w:bCs w:val="0"/>
          <w:sz w:val="32"/>
          <w:lang w:val="en-US" w:eastAsia="zh-CN"/>
        </w:rPr>
        <w:t xml:space="preserve">     &lt;一&gt;村、组财会人员必须通过村民选举产生，非财会人员不得掌握财务，违者，安所掌握的资金总额收一次性违约金15%；有经济收入的组织必须接受村委会的审查，必须交到镇财务托管中心管理，任何组织或个人不得自主财务。</w:t>
      </w:r>
    </w:p>
    <w:p w14:paraId="5F67C5B4">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b w:val="0"/>
          <w:bCs w:val="0"/>
          <w:sz w:val="32"/>
          <w:lang w:val="en-US" w:eastAsia="zh-CN"/>
        </w:rPr>
      </w:pPr>
      <w:r>
        <w:rPr>
          <w:rFonts w:hint="eastAsia" w:ascii="仿宋_GB2312" w:hAnsi="仿宋_GB2312" w:eastAsia="仿宋_GB2312"/>
          <w:b w:val="0"/>
          <w:bCs w:val="0"/>
          <w:sz w:val="32"/>
          <w:lang w:val="en-US" w:eastAsia="zh-CN"/>
        </w:rPr>
        <w:t xml:space="preserve">    &lt;二&gt;村组财会人员要坚持帐、钱、物分开，严禁帐务混乱，要接受群众监督，半年向村民大会公布一次，坚持民主审批制度，审批权限按财务制度执行。</w:t>
      </w:r>
    </w:p>
    <w:p w14:paraId="0760612A">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b w:val="0"/>
          <w:bCs w:val="0"/>
          <w:sz w:val="32"/>
          <w:lang w:val="en-US" w:eastAsia="zh-CN"/>
        </w:rPr>
      </w:pPr>
      <w:r>
        <w:rPr>
          <w:rFonts w:hint="eastAsia" w:ascii="仿宋_GB2312" w:hAnsi="仿宋_GB2312" w:eastAsia="仿宋_GB2312"/>
          <w:b w:val="0"/>
          <w:bCs w:val="0"/>
          <w:sz w:val="32"/>
          <w:lang w:val="en-US" w:eastAsia="zh-CN"/>
        </w:rPr>
        <w:t xml:space="preserve">     &lt;三&gt;财会人员要尽职尽责管理集体资金，财产、物资，严禁私人乱占公物。发生贪污、挪用集体公款，限期赔还集体，数额较大的交司法部门处理。</w:t>
      </w:r>
    </w:p>
    <w:p w14:paraId="5F6A35F7">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b w:val="0"/>
          <w:bCs w:val="0"/>
          <w:sz w:val="32"/>
          <w:lang w:val="en-US" w:eastAsia="zh-CN"/>
        </w:rPr>
      </w:pPr>
      <w:r>
        <w:rPr>
          <w:rFonts w:hint="eastAsia" w:ascii="仿宋_GB2312" w:hAnsi="仿宋_GB2312" w:eastAsia="仿宋_GB2312"/>
          <w:b w:val="0"/>
          <w:bCs w:val="0"/>
          <w:sz w:val="32"/>
          <w:lang w:val="en-US" w:eastAsia="zh-CN"/>
        </w:rPr>
        <w:t xml:space="preserve">     &lt;四&gt;村、组干部在任期内代表集体办理贷款，暂收借款物资等，处理清楚后必须交财会入帐，违者，后果自负。</w:t>
      </w:r>
    </w:p>
    <w:p w14:paraId="43AB1E35">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b w:val="0"/>
          <w:bCs w:val="0"/>
          <w:sz w:val="32"/>
          <w:lang w:val="en-US" w:eastAsia="zh-CN"/>
        </w:rPr>
      </w:pPr>
    </w:p>
    <w:p w14:paraId="3D6AD540">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b/>
          <w:bCs/>
          <w:sz w:val="44"/>
          <w:lang w:val="en-US" w:eastAsia="zh-CN"/>
        </w:rPr>
      </w:pPr>
      <w:r>
        <w:rPr>
          <w:rFonts w:hint="eastAsia" w:ascii="仿宋_GB2312" w:hAnsi="仿宋_GB2312" w:eastAsia="仿宋_GB2312"/>
          <w:b w:val="0"/>
          <w:bCs w:val="0"/>
          <w:sz w:val="44"/>
          <w:lang w:val="en-US" w:eastAsia="zh-CN"/>
        </w:rPr>
        <w:t xml:space="preserve">    </w:t>
      </w:r>
      <w:r>
        <w:rPr>
          <w:rFonts w:hint="eastAsia" w:ascii="仿宋_GB2312" w:hAnsi="仿宋_GB2312" w:eastAsia="仿宋_GB2312"/>
          <w:b/>
          <w:bCs/>
          <w:sz w:val="44"/>
          <w:lang w:val="en-US" w:eastAsia="zh-CN"/>
        </w:rPr>
        <w:t xml:space="preserve">  第九章 关于文教卫生工作管理</w:t>
      </w:r>
    </w:p>
    <w:p w14:paraId="714810F6">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b/>
          <w:bCs/>
          <w:sz w:val="32"/>
          <w:lang w:val="en-US" w:eastAsia="zh-CN"/>
        </w:rPr>
      </w:pPr>
      <w:r>
        <w:rPr>
          <w:rFonts w:hint="eastAsia" w:ascii="仿宋_GB2312" w:hAnsi="仿宋_GB2312" w:eastAsia="仿宋_GB2312"/>
          <w:b/>
          <w:bCs/>
          <w:sz w:val="32"/>
          <w:lang w:val="en-US" w:eastAsia="zh-CN"/>
        </w:rPr>
        <w:t xml:space="preserve"> </w:t>
      </w:r>
    </w:p>
    <w:p w14:paraId="5BBCB2D5">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b w:val="0"/>
          <w:bCs w:val="0"/>
          <w:sz w:val="32"/>
          <w:lang w:val="en-US" w:eastAsia="zh-CN"/>
        </w:rPr>
      </w:pPr>
      <w:r>
        <w:rPr>
          <w:rFonts w:hint="eastAsia" w:ascii="仿宋_GB2312" w:hAnsi="仿宋_GB2312" w:eastAsia="仿宋_GB2312"/>
          <w:b/>
          <w:bCs/>
          <w:sz w:val="32"/>
          <w:lang w:val="en-US" w:eastAsia="zh-CN"/>
        </w:rPr>
        <w:t xml:space="preserve">    第一条 </w:t>
      </w:r>
      <w:r>
        <w:rPr>
          <w:rFonts w:hint="eastAsia" w:ascii="仿宋_GB2312" w:hAnsi="仿宋_GB2312" w:eastAsia="仿宋_GB2312"/>
          <w:b w:val="0"/>
          <w:bCs w:val="0"/>
          <w:sz w:val="32"/>
          <w:lang w:val="en-US" w:eastAsia="zh-CN"/>
        </w:rPr>
        <w:t>教育管理</w:t>
      </w:r>
    </w:p>
    <w:p w14:paraId="63F4F62D">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b w:val="0"/>
          <w:bCs w:val="0"/>
          <w:sz w:val="32"/>
          <w:lang w:val="en-US" w:eastAsia="zh-CN"/>
        </w:rPr>
      </w:pPr>
      <w:r>
        <w:rPr>
          <w:rFonts w:hint="eastAsia" w:ascii="仿宋_GB2312" w:hAnsi="仿宋_GB2312" w:eastAsia="仿宋_GB2312"/>
          <w:b w:val="0"/>
          <w:bCs w:val="0"/>
          <w:sz w:val="32"/>
          <w:lang w:val="en-US" w:eastAsia="zh-CN"/>
        </w:rPr>
        <w:t xml:space="preserve">    &lt;一&gt;本村范围内的适龄儿童，监护人（家长）必须主动把子女送到学校读书（除了智力残疾外），违反此规定者，收一次性违约金1000元，学生在读书辍学的由村委会视情况向监护人（家长）收一定的违约金，并不给于享受优惠政策。</w:t>
      </w:r>
    </w:p>
    <w:p w14:paraId="24405E29">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b w:val="0"/>
          <w:bCs w:val="0"/>
          <w:sz w:val="32"/>
          <w:lang w:val="en-US" w:eastAsia="zh-CN"/>
        </w:rPr>
      </w:pPr>
      <w:r>
        <w:rPr>
          <w:rFonts w:hint="eastAsia" w:ascii="仿宋_GB2312" w:hAnsi="仿宋_GB2312" w:eastAsia="仿宋_GB2312"/>
          <w:b w:val="0"/>
          <w:bCs w:val="0"/>
          <w:sz w:val="32"/>
          <w:lang w:val="en-US" w:eastAsia="zh-CN"/>
        </w:rPr>
        <w:t xml:space="preserve">     &lt;二&gt;本村范围内的优秀学生，考起高中的一次性奖励500元，考起中专的一次性奖励500元（正规学校），考起专科的一次性奖励1000元（正规学校）；考起本科的一次性奖励1500元（正规学校）。必须完成学制，毕业后凭学校毕业证即可领取。</w:t>
      </w:r>
    </w:p>
    <w:p w14:paraId="38AB6E0D">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b w:val="0"/>
          <w:bCs w:val="0"/>
          <w:sz w:val="32"/>
          <w:lang w:val="en-US" w:eastAsia="zh-CN"/>
        </w:rPr>
      </w:pPr>
      <w:r>
        <w:rPr>
          <w:rFonts w:hint="eastAsia" w:ascii="仿宋_GB2312" w:hAnsi="仿宋_GB2312" w:eastAsia="仿宋_GB2312"/>
          <w:b w:val="0"/>
          <w:bCs w:val="0"/>
          <w:sz w:val="32"/>
          <w:lang w:val="en-US" w:eastAsia="zh-CN"/>
        </w:rPr>
        <w:t xml:space="preserve">    &lt;三&gt;青壮年文盲要积极参加扫盲夜校，经动员不参加者，收一次性违约金每人100元。</w:t>
      </w:r>
    </w:p>
    <w:p w14:paraId="5EA4B3A7">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b w:val="0"/>
          <w:bCs w:val="0"/>
          <w:sz w:val="32"/>
          <w:lang w:val="en-US" w:eastAsia="zh-CN"/>
        </w:rPr>
      </w:pPr>
      <w:r>
        <w:rPr>
          <w:rFonts w:hint="eastAsia" w:ascii="仿宋_GB2312" w:hAnsi="仿宋_GB2312" w:eastAsia="仿宋_GB2312"/>
          <w:b w:val="0"/>
          <w:bCs w:val="0"/>
          <w:sz w:val="32"/>
          <w:lang w:val="en-US" w:eastAsia="zh-CN"/>
        </w:rPr>
        <w:t xml:space="preserve">    &lt;四&gt;学校及家长不得殴打教师，违者，收一次性违约金500-1000元。</w:t>
      </w:r>
    </w:p>
    <w:p w14:paraId="27265687">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b w:val="0"/>
          <w:bCs w:val="0"/>
          <w:sz w:val="32"/>
          <w:lang w:val="en-US" w:eastAsia="zh-CN"/>
        </w:rPr>
      </w:pPr>
      <w:r>
        <w:rPr>
          <w:rFonts w:hint="eastAsia" w:ascii="仿宋_GB2312" w:hAnsi="仿宋_GB2312" w:eastAsia="仿宋_GB2312"/>
          <w:b w:val="0"/>
          <w:bCs w:val="0"/>
          <w:sz w:val="32"/>
          <w:lang w:val="en-US" w:eastAsia="zh-CN"/>
        </w:rPr>
        <w:t xml:space="preserve">     &lt;五&gt;严禁在校内闹事、干扰学校正常工作，违者，收一次性违约金每人每次300元；损坏学校财产、校园设施者，除照价赔偿外，收一次性违约金200-1000元。</w:t>
      </w:r>
    </w:p>
    <w:p w14:paraId="5D73300D">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b w:val="0"/>
          <w:bCs w:val="0"/>
          <w:sz w:val="32"/>
          <w:lang w:val="en-US" w:eastAsia="zh-CN"/>
        </w:rPr>
      </w:pPr>
      <w:r>
        <w:rPr>
          <w:rFonts w:hint="eastAsia" w:ascii="仿宋_GB2312" w:hAnsi="仿宋_GB2312" w:eastAsia="仿宋_GB2312"/>
          <w:b/>
          <w:bCs/>
          <w:sz w:val="32"/>
          <w:lang w:val="en-US" w:eastAsia="zh-CN"/>
        </w:rPr>
        <w:t xml:space="preserve">     第二条  </w:t>
      </w:r>
      <w:r>
        <w:rPr>
          <w:rFonts w:hint="eastAsia" w:ascii="仿宋_GB2312" w:hAnsi="仿宋_GB2312" w:eastAsia="仿宋_GB2312"/>
          <w:b w:val="0"/>
          <w:bCs w:val="0"/>
          <w:sz w:val="32"/>
          <w:lang w:val="en-US" w:eastAsia="zh-CN"/>
        </w:rPr>
        <w:t>卫生工作管理</w:t>
      </w:r>
    </w:p>
    <w:p w14:paraId="395499B1">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b w:val="0"/>
          <w:bCs w:val="0"/>
          <w:sz w:val="32"/>
          <w:lang w:val="en-US" w:eastAsia="zh-CN"/>
        </w:rPr>
      </w:pPr>
      <w:r>
        <w:rPr>
          <w:rFonts w:hint="eastAsia" w:ascii="仿宋_GB2312" w:hAnsi="仿宋_GB2312" w:eastAsia="仿宋_GB2312"/>
          <w:b w:val="0"/>
          <w:bCs w:val="0"/>
          <w:sz w:val="32"/>
          <w:lang w:val="en-US" w:eastAsia="zh-CN"/>
        </w:rPr>
        <w:t xml:space="preserve">     &lt;一&gt;村保健员要按照村委会和主管部门的要求积极开展爱国卫生工作，工作中要认真负责，经常深入村组给农户看病治病，发现问题及时向村委会和主管部门请示汇报，违者，收一次性违约金100元，造成严重后果的交主管部门处理。</w:t>
      </w:r>
    </w:p>
    <w:p w14:paraId="7DEB22A7">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b w:val="0"/>
          <w:bCs w:val="0"/>
          <w:sz w:val="32"/>
          <w:lang w:val="en-US" w:eastAsia="zh-CN"/>
        </w:rPr>
      </w:pPr>
      <w:r>
        <w:rPr>
          <w:rFonts w:hint="eastAsia" w:ascii="仿宋_GB2312" w:hAnsi="仿宋_GB2312" w:eastAsia="仿宋_GB2312"/>
          <w:b w:val="0"/>
          <w:bCs w:val="0"/>
          <w:sz w:val="32"/>
          <w:lang w:val="en-US" w:eastAsia="zh-CN"/>
        </w:rPr>
        <w:t xml:space="preserve">    &lt;二&gt;每半年组织大锅药一次，每完不成一次，收一次性违约金300元，村民小组要按时兑现保健员煮大锅药时的补助同其他开支，否则，加倍收取。</w:t>
      </w:r>
    </w:p>
    <w:p w14:paraId="4C557030">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b w:val="0"/>
          <w:bCs w:val="0"/>
          <w:sz w:val="32"/>
          <w:lang w:val="en-US" w:eastAsia="zh-CN"/>
        </w:rPr>
      </w:pPr>
      <w:r>
        <w:rPr>
          <w:rFonts w:hint="eastAsia" w:ascii="仿宋_GB2312" w:hAnsi="仿宋_GB2312" w:eastAsia="仿宋_GB2312"/>
          <w:b w:val="0"/>
          <w:bCs w:val="0"/>
          <w:sz w:val="32"/>
          <w:lang w:val="en-US" w:eastAsia="zh-CN"/>
        </w:rPr>
        <w:t xml:space="preserve">    &lt;三&gt;保健员要搞好药品管理，严禁在市场乱购药品、针剂，违者，收一次性违约金1000元，造成病人中毒身亡的由其承担全部责任。</w:t>
      </w:r>
    </w:p>
    <w:p w14:paraId="7207C02F">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firstLine="640"/>
        <w:jc w:val="left"/>
        <w:textAlignment w:val="auto"/>
        <w:outlineLvl w:val="9"/>
        <w:rPr>
          <w:rFonts w:hint="eastAsia" w:ascii="仿宋_GB2312" w:hAnsi="仿宋_GB2312" w:eastAsia="仿宋_GB2312"/>
          <w:b w:val="0"/>
          <w:bCs w:val="0"/>
          <w:sz w:val="32"/>
          <w:lang w:val="en-US" w:eastAsia="zh-CN"/>
        </w:rPr>
      </w:pPr>
      <w:r>
        <w:rPr>
          <w:rFonts w:hint="eastAsia" w:ascii="仿宋_GB2312" w:hAnsi="仿宋_GB2312" w:eastAsia="仿宋_GB2312"/>
          <w:b w:val="0"/>
          <w:bCs w:val="0"/>
          <w:sz w:val="32"/>
          <w:lang w:val="en-US" w:eastAsia="zh-CN"/>
        </w:rPr>
        <w:t>&lt;四&gt;保健员要合理收取针剂费和手续费，违者，收一次性违约金500元。</w:t>
      </w:r>
    </w:p>
    <w:p w14:paraId="29CFA376">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firstLine="64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&lt;五&gt;</w:t>
      </w:r>
      <w:r>
        <w:rPr>
          <w:rFonts w:hint="eastAsia" w:ascii="仿宋" w:hAnsi="仿宋" w:eastAsia="仿宋" w:cs="仿宋"/>
          <w:sz w:val="32"/>
          <w:szCs w:val="32"/>
          <w:lang w:eastAsia="zh-CN"/>
        </w:rPr>
        <w:t>所有村民有保持村庄干净整洁的责任和义务。</w:t>
      </w:r>
      <w:r>
        <w:rPr>
          <w:rFonts w:hint="eastAsia" w:ascii="仿宋" w:hAnsi="仿宋" w:eastAsia="仿宋" w:cs="仿宋"/>
          <w:sz w:val="32"/>
          <w:szCs w:val="32"/>
        </w:rPr>
        <w:t>农户庭院和村组环境卫生实行一日一清扫。</w:t>
      </w:r>
      <w:r>
        <w:rPr>
          <w:rFonts w:hint="eastAsia" w:ascii="仿宋" w:hAnsi="仿宋" w:eastAsia="仿宋" w:cs="仿宋"/>
          <w:sz w:val="32"/>
          <w:szCs w:val="32"/>
          <w:lang w:eastAsia="zh-CN"/>
        </w:rPr>
        <w:t>清扫的垃圾必须在指定的地点（垃圾处理池）</w:t>
      </w:r>
      <w:r>
        <w:rPr>
          <w:rFonts w:hint="eastAsia" w:ascii="仿宋" w:hAnsi="仿宋" w:eastAsia="仿宋" w:cs="仿宋"/>
          <w:sz w:val="32"/>
          <w:szCs w:val="32"/>
        </w:rPr>
        <w:t>倾倒、堆放</w:t>
      </w:r>
      <w:r>
        <w:rPr>
          <w:rFonts w:hint="eastAsia" w:ascii="仿宋" w:hAnsi="仿宋" w:eastAsia="仿宋" w:cs="仿宋"/>
          <w:sz w:val="32"/>
          <w:szCs w:val="32"/>
          <w:lang w:eastAsia="zh-CN"/>
        </w:rPr>
        <w:t>，</w:t>
      </w:r>
      <w:r>
        <w:rPr>
          <w:rFonts w:hint="eastAsia" w:ascii="仿宋" w:hAnsi="仿宋" w:eastAsia="仿宋" w:cs="仿宋"/>
          <w:sz w:val="32"/>
          <w:szCs w:val="32"/>
        </w:rPr>
        <w:t>不得在公路沿线、村道、河溪等公共场所倾倒、堆放垃圾，一经发现</w:t>
      </w:r>
      <w:r>
        <w:rPr>
          <w:rFonts w:hint="eastAsia" w:ascii="仿宋" w:hAnsi="仿宋" w:eastAsia="仿宋" w:cs="仿宋"/>
          <w:sz w:val="32"/>
          <w:szCs w:val="32"/>
          <w:lang w:eastAsia="zh-CN"/>
        </w:rPr>
        <w:t>乱扔乱倒垃圾的行为，责令行为人清除干净所倒的垃圾，并要求行为人支付违约金</w:t>
      </w:r>
      <w:r>
        <w:rPr>
          <w:rFonts w:hint="eastAsia" w:ascii="仿宋" w:hAnsi="仿宋" w:eastAsia="仿宋" w:cs="仿宋"/>
          <w:sz w:val="32"/>
          <w:szCs w:val="32"/>
        </w:rPr>
        <w:t>。</w:t>
      </w:r>
      <w:r>
        <w:rPr>
          <w:rFonts w:hint="eastAsia" w:ascii="仿宋" w:hAnsi="仿宋" w:eastAsia="仿宋" w:cs="仿宋"/>
          <w:sz w:val="32"/>
          <w:szCs w:val="32"/>
          <w:lang w:val="en-US" w:eastAsia="zh-CN"/>
        </w:rPr>
        <w:t>1.没有将垃圾倒入垃圾箱的，每次支付50-100元的违约金；2.乱堆乱倒建筑垃圾的，每次支付100-1000元的违约金；3.</w:t>
      </w:r>
      <w:r>
        <w:rPr>
          <w:rFonts w:hint="eastAsia" w:ascii="仿宋" w:hAnsi="仿宋" w:eastAsia="仿宋" w:cs="仿宋"/>
          <w:b w:val="0"/>
          <w:bCs w:val="0"/>
          <w:sz w:val="32"/>
          <w:szCs w:val="32"/>
          <w:lang w:val="en-US" w:eastAsia="zh-CN"/>
        </w:rPr>
        <w:t>在路边乱丢乱扔垃圾的，每次支付100-1000元的违约金。</w:t>
      </w:r>
    </w:p>
    <w:p w14:paraId="366DD2E7">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right="-104" w:rightChars="-50" w:firstLine="638" w:firstLineChars="200"/>
        <w:jc w:val="left"/>
        <w:textAlignment w:val="auto"/>
        <w:outlineLvl w:val="9"/>
        <w:rPr>
          <w:rFonts w:hint="eastAsia" w:ascii="仿宋_GB2312" w:hAnsi="仿宋_GB2312" w:eastAsia="仿宋_GB2312"/>
          <w:b w:val="0"/>
          <w:bCs w:val="0"/>
          <w:sz w:val="32"/>
          <w:lang w:val="en-US" w:eastAsia="zh-CN"/>
        </w:rPr>
      </w:pPr>
      <w:r>
        <w:rPr>
          <w:rFonts w:hint="eastAsia" w:ascii="仿宋_GB2312" w:hAnsi="仿宋_GB2312" w:eastAsia="仿宋_GB2312"/>
          <w:b w:val="0"/>
          <w:bCs w:val="0"/>
          <w:sz w:val="32"/>
          <w:lang w:val="en-US" w:eastAsia="zh-CN"/>
        </w:rPr>
        <w:t>&lt;六&gt;保健员要组织干部、广大村民做好环境卫生。</w:t>
      </w:r>
    </w:p>
    <w:p w14:paraId="001FAD86">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firstLine="640"/>
        <w:jc w:val="left"/>
        <w:textAlignment w:val="auto"/>
        <w:outlineLvl w:val="9"/>
        <w:rPr>
          <w:rFonts w:hint="eastAsia" w:ascii="仿宋_GB2312" w:hAnsi="仿宋_GB2312" w:eastAsia="仿宋_GB2312"/>
          <w:b w:val="0"/>
          <w:bCs w:val="0"/>
          <w:sz w:val="32"/>
          <w:lang w:val="en-US" w:eastAsia="zh-CN"/>
        </w:rPr>
      </w:pPr>
      <w:r>
        <w:rPr>
          <w:rFonts w:hint="eastAsia" w:ascii="仿宋_GB2312" w:hAnsi="仿宋_GB2312" w:eastAsia="仿宋_GB2312"/>
          <w:b w:val="0"/>
          <w:bCs w:val="0"/>
          <w:sz w:val="32"/>
          <w:lang w:val="en-US" w:eastAsia="zh-CN"/>
        </w:rPr>
        <w:t>&lt;七&gt;根据本村的实际情况，各自然村自制实施方案。</w:t>
      </w:r>
    </w:p>
    <w:p w14:paraId="0D2A1F02">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firstLine="0" w:firstLineChars="0"/>
        <w:jc w:val="center"/>
        <w:textAlignment w:val="auto"/>
        <w:outlineLvl w:val="9"/>
        <w:rPr>
          <w:rFonts w:hint="eastAsia" w:ascii="仿宋_GB2312" w:hAnsi="仿宋_GB2312" w:eastAsia="仿宋_GB2312"/>
          <w:b/>
          <w:bCs/>
          <w:sz w:val="32"/>
          <w:lang w:val="en-US" w:eastAsia="zh-CN"/>
        </w:rPr>
      </w:pPr>
      <w:r>
        <w:rPr>
          <w:rFonts w:hint="eastAsia" w:ascii="仿宋_GB2312" w:hAnsi="仿宋_GB2312" w:eastAsia="仿宋_GB2312"/>
          <w:b/>
          <w:bCs/>
          <w:sz w:val="32"/>
          <w:lang w:val="en-US" w:eastAsia="zh-CN"/>
        </w:rPr>
        <w:t xml:space="preserve"> </w:t>
      </w:r>
    </w:p>
    <w:p w14:paraId="13F17515">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firstLine="0" w:firstLineChars="0"/>
        <w:jc w:val="center"/>
        <w:textAlignment w:val="auto"/>
        <w:outlineLvl w:val="9"/>
        <w:rPr>
          <w:rFonts w:hint="eastAsia" w:ascii="仿宋_GB2312" w:hAnsi="仿宋_GB2312" w:eastAsia="仿宋_GB2312"/>
          <w:b/>
          <w:bCs/>
          <w:sz w:val="44"/>
          <w:lang w:val="en-US" w:eastAsia="zh-CN"/>
        </w:rPr>
      </w:pPr>
      <w:r>
        <w:rPr>
          <w:rFonts w:hint="eastAsia" w:ascii="仿宋_GB2312" w:hAnsi="仿宋_GB2312" w:eastAsia="仿宋_GB2312"/>
          <w:b/>
          <w:bCs/>
          <w:sz w:val="44"/>
          <w:lang w:val="en-US" w:eastAsia="zh-CN"/>
        </w:rPr>
        <w:t>第十章 其他规定</w:t>
      </w:r>
    </w:p>
    <w:p w14:paraId="22EE7D8B">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b w:val="0"/>
          <w:bCs w:val="0"/>
          <w:sz w:val="44"/>
          <w:lang w:val="en-US" w:eastAsia="zh-CN"/>
        </w:rPr>
      </w:pPr>
      <w:r>
        <w:rPr>
          <w:rFonts w:hint="eastAsia" w:ascii="仿宋_GB2312" w:hAnsi="仿宋_GB2312" w:eastAsia="仿宋_GB2312"/>
          <w:b w:val="0"/>
          <w:bCs w:val="0"/>
          <w:sz w:val="44"/>
          <w:lang w:val="en-US" w:eastAsia="zh-CN"/>
        </w:rPr>
        <w:t xml:space="preserve"> </w:t>
      </w:r>
    </w:p>
    <w:p w14:paraId="2449C71C">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b w:val="0"/>
          <w:bCs w:val="0"/>
          <w:sz w:val="32"/>
          <w:lang w:val="en-US" w:eastAsia="zh-CN"/>
        </w:rPr>
      </w:pPr>
      <w:r>
        <w:rPr>
          <w:rFonts w:hint="eastAsia" w:ascii="仿宋_GB2312" w:hAnsi="仿宋_GB2312" w:eastAsia="仿宋_GB2312"/>
          <w:b/>
          <w:bCs/>
          <w:sz w:val="32"/>
          <w:lang w:val="en-US" w:eastAsia="zh-CN"/>
        </w:rPr>
        <w:t xml:space="preserve">   第一条</w:t>
      </w:r>
      <w:r>
        <w:rPr>
          <w:rFonts w:hint="eastAsia" w:ascii="仿宋_GB2312" w:hAnsi="仿宋_GB2312" w:eastAsia="仿宋_GB2312"/>
          <w:b w:val="0"/>
          <w:bCs w:val="0"/>
          <w:sz w:val="32"/>
          <w:lang w:val="en-US" w:eastAsia="zh-CN"/>
        </w:rPr>
        <w:t xml:space="preserve"> 违约赔偿和调解纠纷收费标准：</w:t>
      </w:r>
    </w:p>
    <w:p w14:paraId="0D2BF136">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b w:val="0"/>
          <w:bCs w:val="0"/>
          <w:sz w:val="32"/>
          <w:lang w:val="en-US" w:eastAsia="zh-CN"/>
        </w:rPr>
      </w:pPr>
      <w:r>
        <w:rPr>
          <w:rFonts w:hint="eastAsia" w:ascii="仿宋_GB2312" w:hAnsi="仿宋_GB2312" w:eastAsia="仿宋_GB2312"/>
          <w:b w:val="0"/>
          <w:bCs w:val="0"/>
          <w:sz w:val="32"/>
          <w:lang w:val="en-US" w:eastAsia="zh-CN"/>
        </w:rPr>
        <w:t xml:space="preserve">    &lt;一&gt;违约赔偿：</w:t>
      </w:r>
    </w:p>
    <w:p w14:paraId="14455392">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b w:val="0"/>
          <w:bCs w:val="0"/>
          <w:sz w:val="32"/>
          <w:lang w:val="en-US" w:eastAsia="zh-CN"/>
        </w:rPr>
      </w:pPr>
      <w:r>
        <w:rPr>
          <w:rFonts w:hint="eastAsia" w:ascii="仿宋_GB2312" w:hAnsi="仿宋_GB2312" w:eastAsia="仿宋_GB2312"/>
          <w:b w:val="0"/>
          <w:bCs w:val="0"/>
          <w:sz w:val="32"/>
          <w:lang w:val="en-US" w:eastAsia="zh-CN"/>
        </w:rPr>
        <w:t xml:space="preserve">   1、误工费（包括护理人员）按每整天30元计算；</w:t>
      </w:r>
    </w:p>
    <w:p w14:paraId="100462A6">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b w:val="0"/>
          <w:bCs w:val="0"/>
          <w:sz w:val="32"/>
          <w:lang w:val="en-US" w:eastAsia="zh-CN"/>
        </w:rPr>
      </w:pPr>
      <w:r>
        <w:rPr>
          <w:rFonts w:hint="eastAsia" w:ascii="仿宋_GB2312" w:hAnsi="仿宋_GB2312" w:eastAsia="仿宋_GB2312"/>
          <w:b w:val="0"/>
          <w:bCs w:val="0"/>
          <w:sz w:val="32"/>
          <w:lang w:val="en-US" w:eastAsia="zh-CN"/>
        </w:rPr>
        <w:t xml:space="preserve">   2、营养责任(包括护理人员生活费)按每整天</w:t>
      </w:r>
      <w:r>
        <w:rPr>
          <w:rFonts w:hint="eastAsia" w:ascii="仿宋_GB2312" w:hAnsi="仿宋_GB2312" w:eastAsia="仿宋_GB2312"/>
          <w:b w:val="0"/>
          <w:bCs w:val="0"/>
          <w:color w:val="auto"/>
          <w:sz w:val="32"/>
          <w:lang w:val="en-US" w:eastAsia="zh-CN"/>
        </w:rPr>
        <w:t>30</w:t>
      </w:r>
      <w:r>
        <w:rPr>
          <w:rFonts w:hint="eastAsia" w:ascii="仿宋_GB2312" w:hAnsi="仿宋_GB2312" w:eastAsia="仿宋_GB2312"/>
          <w:b w:val="0"/>
          <w:bCs w:val="0"/>
          <w:sz w:val="32"/>
          <w:lang w:val="en-US" w:eastAsia="zh-CN"/>
        </w:rPr>
        <w:t>元计算；</w:t>
      </w:r>
    </w:p>
    <w:p w14:paraId="1BA4F1DF">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b w:val="0"/>
          <w:bCs w:val="0"/>
          <w:sz w:val="32"/>
          <w:lang w:val="en-US" w:eastAsia="zh-CN"/>
        </w:rPr>
      </w:pPr>
      <w:r>
        <w:rPr>
          <w:rFonts w:hint="eastAsia" w:ascii="仿宋_GB2312" w:hAnsi="仿宋_GB2312" w:eastAsia="仿宋_GB2312"/>
          <w:b w:val="0"/>
          <w:bCs w:val="0"/>
          <w:sz w:val="32"/>
          <w:lang w:val="en-US" w:eastAsia="zh-CN"/>
        </w:rPr>
        <w:t xml:space="preserve">   3、药费按医院和村卫生室药单为依据，民间草医没有村级证明不能列为处理依据。</w:t>
      </w:r>
    </w:p>
    <w:p w14:paraId="581447D9">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b w:val="0"/>
          <w:bCs w:val="0"/>
          <w:sz w:val="32"/>
          <w:lang w:val="en-US" w:eastAsia="zh-CN"/>
        </w:rPr>
      </w:pPr>
      <w:r>
        <w:rPr>
          <w:rFonts w:hint="eastAsia" w:ascii="仿宋_GB2312" w:hAnsi="仿宋_GB2312" w:eastAsia="仿宋_GB2312"/>
          <w:b w:val="0"/>
          <w:bCs w:val="0"/>
          <w:sz w:val="32"/>
          <w:lang w:val="en-US" w:eastAsia="zh-CN"/>
        </w:rPr>
        <w:t xml:space="preserve">   4、影响他人做生意、营业的按实际损失赔偿。</w:t>
      </w:r>
    </w:p>
    <w:p w14:paraId="6CF31A24">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b w:val="0"/>
          <w:bCs w:val="0"/>
          <w:sz w:val="32"/>
          <w:lang w:val="en-US" w:eastAsia="zh-CN"/>
        </w:rPr>
      </w:pPr>
      <w:r>
        <w:rPr>
          <w:rFonts w:hint="eastAsia" w:ascii="仿宋_GB2312" w:hAnsi="仿宋_GB2312" w:eastAsia="仿宋_GB2312"/>
          <w:b w:val="0"/>
          <w:bCs w:val="0"/>
          <w:sz w:val="32"/>
          <w:lang w:val="en-US" w:eastAsia="zh-CN"/>
        </w:rPr>
        <w:t xml:space="preserve">   5、造成他人财产损失、房屋损失的要照价赔偿。</w:t>
      </w:r>
    </w:p>
    <w:p w14:paraId="7ECDC2D8">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b w:val="0"/>
          <w:bCs w:val="0"/>
          <w:sz w:val="32"/>
          <w:lang w:val="en-US" w:eastAsia="zh-CN"/>
        </w:rPr>
      </w:pPr>
      <w:r>
        <w:rPr>
          <w:rFonts w:hint="eastAsia" w:ascii="仿宋_GB2312" w:hAnsi="仿宋_GB2312" w:eastAsia="仿宋_GB2312"/>
          <w:b w:val="0"/>
          <w:bCs w:val="0"/>
          <w:sz w:val="32"/>
          <w:lang w:val="en-US" w:eastAsia="zh-CN"/>
        </w:rPr>
        <w:t xml:space="preserve">   6、造成他人残疾丧失劳动能力的，每年要承担残疾人员生活现金1500元。</w:t>
      </w:r>
    </w:p>
    <w:p w14:paraId="4FE21BD1">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b w:val="0"/>
          <w:bCs w:val="0"/>
          <w:sz w:val="32"/>
          <w:lang w:val="en-US" w:eastAsia="zh-CN"/>
        </w:rPr>
      </w:pPr>
      <w:r>
        <w:rPr>
          <w:rFonts w:hint="eastAsia" w:ascii="仿宋_GB2312" w:hAnsi="仿宋_GB2312" w:eastAsia="仿宋_GB2312"/>
          <w:b w:val="0"/>
          <w:bCs w:val="0"/>
          <w:sz w:val="32"/>
          <w:lang w:val="en-US" w:eastAsia="zh-CN"/>
        </w:rPr>
        <w:t xml:space="preserve">   &lt;二&gt;调解纠纷收费标准：</w:t>
      </w:r>
    </w:p>
    <w:p w14:paraId="069675D8">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b w:val="0"/>
          <w:bCs w:val="0"/>
          <w:sz w:val="32"/>
          <w:lang w:val="en-US" w:eastAsia="zh-CN"/>
        </w:rPr>
      </w:pPr>
      <w:r>
        <w:rPr>
          <w:rFonts w:hint="eastAsia" w:ascii="仿宋_GB2312" w:hAnsi="仿宋_GB2312" w:eastAsia="仿宋_GB2312"/>
          <w:b w:val="0"/>
          <w:bCs w:val="0"/>
          <w:sz w:val="32"/>
          <w:lang w:val="en-US" w:eastAsia="zh-CN"/>
        </w:rPr>
        <w:t xml:space="preserve">  1、打架斗殴每起（人）收1000元。</w:t>
      </w:r>
    </w:p>
    <w:p w14:paraId="099DCDA5">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b w:val="0"/>
          <w:bCs w:val="0"/>
          <w:sz w:val="32"/>
          <w:lang w:val="en-US" w:eastAsia="zh-CN"/>
        </w:rPr>
      </w:pPr>
      <w:r>
        <w:rPr>
          <w:rFonts w:hint="eastAsia" w:ascii="仿宋_GB2312" w:hAnsi="仿宋_GB2312" w:eastAsia="仿宋_GB2312"/>
          <w:b w:val="0"/>
          <w:bCs w:val="0"/>
          <w:sz w:val="32"/>
          <w:lang w:val="en-US" w:eastAsia="zh-CN"/>
        </w:rPr>
        <w:t xml:space="preserve">  2、婚姻违约金每起（人）收200元。</w:t>
      </w:r>
    </w:p>
    <w:p w14:paraId="5ECFFFDD">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b w:val="0"/>
          <w:bCs w:val="0"/>
          <w:sz w:val="32"/>
          <w:lang w:val="en-US" w:eastAsia="zh-CN"/>
        </w:rPr>
      </w:pPr>
      <w:r>
        <w:rPr>
          <w:rFonts w:hint="eastAsia" w:ascii="仿宋_GB2312" w:hAnsi="仿宋_GB2312" w:eastAsia="仿宋_GB2312"/>
          <w:b w:val="0"/>
          <w:bCs w:val="0"/>
          <w:sz w:val="32"/>
          <w:lang w:val="en-US" w:eastAsia="zh-CN"/>
        </w:rPr>
        <w:t xml:space="preserve">  3、偷盗违约金每起（人）收200元。</w:t>
      </w:r>
    </w:p>
    <w:p w14:paraId="7805CE85">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b w:val="0"/>
          <w:bCs w:val="0"/>
          <w:sz w:val="32"/>
          <w:lang w:val="en-US" w:eastAsia="zh-CN"/>
        </w:rPr>
      </w:pPr>
      <w:r>
        <w:rPr>
          <w:rFonts w:hint="eastAsia" w:ascii="仿宋_GB2312" w:hAnsi="仿宋_GB2312" w:eastAsia="仿宋_GB2312"/>
          <w:b w:val="0"/>
          <w:bCs w:val="0"/>
          <w:sz w:val="32"/>
          <w:lang w:val="en-US" w:eastAsia="zh-CN"/>
        </w:rPr>
        <w:t xml:space="preserve">  4、交通事故、财产经济纠纷每起（人）收200元。</w:t>
      </w:r>
    </w:p>
    <w:p w14:paraId="194EA91E">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b w:val="0"/>
          <w:bCs w:val="0"/>
          <w:sz w:val="32"/>
          <w:lang w:val="en-US" w:eastAsia="zh-CN"/>
        </w:rPr>
      </w:pPr>
      <w:r>
        <w:rPr>
          <w:rFonts w:hint="eastAsia" w:ascii="仿宋_GB2312" w:hAnsi="仿宋_GB2312" w:eastAsia="仿宋_GB2312"/>
          <w:b w:val="0"/>
          <w:bCs w:val="0"/>
          <w:sz w:val="32"/>
          <w:lang w:val="en-US" w:eastAsia="zh-CN"/>
        </w:rPr>
        <w:t xml:space="preserve">   &lt;三&gt;调解人员在调解处理中有失误的要当面向当事人说明，若本村确实不能调解的要报上级主管部门处理，对第一次处理意见，当事人有异议的可在处理后5天内向上级反映或请求处理，在上级未受理前第一个处理意见仍然有效。</w:t>
      </w:r>
    </w:p>
    <w:p w14:paraId="7CE748E2">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b w:val="0"/>
          <w:bCs w:val="0"/>
          <w:sz w:val="32"/>
          <w:lang w:val="en-US" w:eastAsia="zh-CN"/>
        </w:rPr>
      </w:pPr>
      <w:r>
        <w:rPr>
          <w:rFonts w:hint="eastAsia" w:ascii="仿宋_GB2312" w:hAnsi="仿宋_GB2312" w:eastAsia="仿宋_GB2312"/>
          <w:b w:val="0"/>
          <w:bCs w:val="0"/>
          <w:sz w:val="32"/>
          <w:lang w:val="en-US" w:eastAsia="zh-CN"/>
        </w:rPr>
        <w:t xml:space="preserve">  &lt;四&gt;属于非调解人员、治安人员自行调解处理的问题，一方有异议的要求调解处理要先交调解费方可给予调解，否则，不给于调解。</w:t>
      </w:r>
    </w:p>
    <w:p w14:paraId="26C9BC85">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jc w:val="left"/>
        <w:textAlignment w:val="auto"/>
        <w:outlineLvl w:val="9"/>
        <w:rPr>
          <w:rFonts w:hint="eastAsia" w:ascii="仿宋_GB2312" w:hAnsi="仿宋_GB2312" w:eastAsia="仿宋_GB2312"/>
          <w:b w:val="0"/>
          <w:bCs w:val="0"/>
          <w:sz w:val="32"/>
          <w:lang w:val="en-US" w:eastAsia="zh-CN"/>
        </w:rPr>
      </w:pPr>
      <w:r>
        <w:rPr>
          <w:rFonts w:hint="eastAsia" w:ascii="仿宋_GB2312" w:hAnsi="仿宋_GB2312" w:eastAsia="仿宋_GB2312"/>
          <w:b/>
          <w:bCs/>
          <w:sz w:val="32"/>
          <w:lang w:val="en-US" w:eastAsia="zh-CN"/>
        </w:rPr>
        <w:t xml:space="preserve">    第二条 </w:t>
      </w:r>
      <w:r>
        <w:rPr>
          <w:rFonts w:hint="eastAsia" w:ascii="仿宋_GB2312" w:hAnsi="仿宋_GB2312" w:eastAsia="仿宋_GB2312"/>
          <w:b w:val="0"/>
          <w:bCs w:val="0"/>
          <w:sz w:val="32"/>
          <w:lang w:val="en-US" w:eastAsia="zh-CN"/>
        </w:rPr>
        <w:t xml:space="preserve"> 集体组织的抢险救灾造成人员伤亡的集体要承担80%，本人要承担20%的经济损失，属于他人造成的一切责任由造成者自负。因公伤残人员，由集体按残疾程度每年适当补助给口粮700市斤和其他社会福利。</w:t>
      </w:r>
    </w:p>
    <w:p w14:paraId="6A4CCF4F">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firstLine="638" w:firstLineChars="200"/>
        <w:jc w:val="left"/>
        <w:textAlignment w:val="auto"/>
        <w:outlineLvl w:val="9"/>
        <w:rPr>
          <w:rFonts w:hint="eastAsia" w:ascii="仿宋_GB2312" w:hAnsi="仿宋_GB2312" w:eastAsia="仿宋_GB2312"/>
          <w:b w:val="0"/>
          <w:bCs w:val="0"/>
          <w:sz w:val="32"/>
          <w:lang w:val="en-US" w:eastAsia="zh-CN"/>
        </w:rPr>
      </w:pPr>
      <w:r>
        <w:rPr>
          <w:rFonts w:hint="eastAsia" w:ascii="仿宋_GB2312" w:hAnsi="仿宋_GB2312" w:eastAsia="仿宋_GB2312"/>
          <w:b/>
          <w:bCs/>
          <w:sz w:val="32"/>
          <w:lang w:val="en-US" w:eastAsia="zh-CN"/>
        </w:rPr>
        <w:t xml:space="preserve">第三条 </w:t>
      </w:r>
      <w:r>
        <w:rPr>
          <w:rFonts w:hint="eastAsia" w:ascii="仿宋_GB2312" w:hAnsi="仿宋_GB2312" w:eastAsia="仿宋_GB2312"/>
          <w:b w:val="0"/>
          <w:bCs w:val="0"/>
          <w:sz w:val="32"/>
          <w:lang w:val="en-US" w:eastAsia="zh-CN"/>
        </w:rPr>
        <w:t xml:space="preserve"> 本规定的违约金必须在处理决定后15天内交清，违者由村组负责收回承包地的50%的面积转包他人。</w:t>
      </w:r>
    </w:p>
    <w:p w14:paraId="72B04F57">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firstLine="638" w:firstLineChars="200"/>
        <w:jc w:val="left"/>
        <w:textAlignment w:val="auto"/>
        <w:outlineLvl w:val="9"/>
        <w:rPr>
          <w:rFonts w:hint="eastAsia" w:ascii="仿宋_GB2312" w:hAnsi="仿宋_GB2312" w:eastAsia="仿宋_GB2312"/>
          <w:b w:val="0"/>
          <w:bCs w:val="0"/>
          <w:sz w:val="32"/>
          <w:lang w:val="en-US" w:eastAsia="zh-CN"/>
        </w:rPr>
      </w:pPr>
      <w:r>
        <w:rPr>
          <w:rFonts w:hint="eastAsia" w:ascii="仿宋_GB2312" w:hAnsi="仿宋_GB2312" w:eastAsia="仿宋_GB2312"/>
          <w:b/>
          <w:bCs/>
          <w:sz w:val="32"/>
          <w:lang w:val="en-US" w:eastAsia="zh-CN"/>
        </w:rPr>
        <w:t xml:space="preserve">第四条  </w:t>
      </w:r>
      <w:r>
        <w:rPr>
          <w:rFonts w:hint="eastAsia" w:ascii="仿宋_GB2312" w:hAnsi="仿宋_GB2312" w:eastAsia="仿宋_GB2312"/>
          <w:b w:val="0"/>
          <w:bCs w:val="0"/>
          <w:sz w:val="32"/>
          <w:lang w:val="en-US" w:eastAsia="zh-CN"/>
        </w:rPr>
        <w:t>本村所有生产组织，村民小组及村民都要无条件服从村民公决，遵守村民公决的所有事项，对不执行村民公决的村民小组在优惠政策上不给予倾斜，对不执行村民公决的个人，永久性不给予优惠政策及其他社会福利，情节严重的可以逐出本村。</w:t>
      </w:r>
    </w:p>
    <w:p w14:paraId="5AF0D48E">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firstLine="638" w:firstLineChars="200"/>
        <w:jc w:val="left"/>
        <w:textAlignment w:val="auto"/>
        <w:outlineLvl w:val="9"/>
        <w:rPr>
          <w:rFonts w:hint="eastAsia" w:ascii="仿宋_GB2312" w:hAnsi="仿宋_GB2312" w:eastAsia="仿宋_GB2312"/>
          <w:b w:val="0"/>
          <w:bCs w:val="0"/>
          <w:sz w:val="32"/>
          <w:lang w:val="en-US" w:eastAsia="zh-CN"/>
        </w:rPr>
      </w:pPr>
      <w:r>
        <w:rPr>
          <w:rFonts w:hint="eastAsia" w:ascii="仿宋_GB2312" w:hAnsi="仿宋_GB2312" w:eastAsia="仿宋_GB2312"/>
          <w:b/>
          <w:bCs/>
          <w:sz w:val="32"/>
          <w:lang w:val="en-US" w:eastAsia="zh-CN"/>
        </w:rPr>
        <w:t xml:space="preserve">第五条 </w:t>
      </w:r>
      <w:r>
        <w:rPr>
          <w:rFonts w:hint="eastAsia" w:ascii="仿宋_GB2312" w:hAnsi="仿宋_GB2312" w:eastAsia="仿宋_GB2312"/>
          <w:b w:val="0"/>
          <w:bCs w:val="0"/>
          <w:sz w:val="32"/>
          <w:lang w:val="en-US" w:eastAsia="zh-CN"/>
        </w:rPr>
        <w:t>本村蔗农在糖厂所贷的物资，必须用本户的户头进行记账，不能凭借其他蔗农的户头来记账，违反此规定者，村组将提取所贷物资的总额的20%，补偿给被利用的蔗农。</w:t>
      </w:r>
    </w:p>
    <w:p w14:paraId="7032B506">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firstLine="638" w:firstLineChars="200"/>
        <w:jc w:val="left"/>
        <w:textAlignment w:val="auto"/>
        <w:outlineLvl w:val="9"/>
        <w:rPr>
          <w:rFonts w:hint="eastAsia" w:ascii="仿宋_GB2312" w:hAnsi="仿宋_GB2312" w:eastAsia="仿宋_GB2312"/>
          <w:b w:val="0"/>
          <w:bCs w:val="0"/>
          <w:sz w:val="32"/>
          <w:lang w:val="en-US" w:eastAsia="zh-CN"/>
        </w:rPr>
      </w:pPr>
      <w:r>
        <w:rPr>
          <w:rFonts w:hint="eastAsia" w:ascii="仿宋_GB2312" w:hAnsi="仿宋_GB2312" w:eastAsia="仿宋_GB2312"/>
          <w:b/>
          <w:bCs/>
          <w:sz w:val="32"/>
          <w:lang w:val="en-US" w:eastAsia="zh-CN"/>
        </w:rPr>
        <w:t>第六条</w:t>
      </w:r>
      <w:r>
        <w:rPr>
          <w:rFonts w:hint="eastAsia" w:ascii="仿宋_GB2312" w:hAnsi="仿宋_GB2312" w:eastAsia="仿宋_GB2312"/>
          <w:b w:val="0"/>
          <w:bCs w:val="0"/>
          <w:sz w:val="32"/>
          <w:lang w:val="en-US" w:eastAsia="zh-CN"/>
        </w:rPr>
        <w:t xml:space="preserve"> 组干部补贴按全村甘蔗总量每吨一元收取，并由村“两委”根据工作实绩考核结果统一在年底发放，组干部在本组内不再享有其他义务工补贴。</w:t>
      </w:r>
    </w:p>
    <w:p w14:paraId="06EF0B7A">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firstLine="638" w:firstLineChars="200"/>
        <w:jc w:val="left"/>
        <w:textAlignment w:val="auto"/>
        <w:outlineLvl w:val="9"/>
        <w:rPr>
          <w:rFonts w:hint="eastAsia" w:ascii="仿宋_GB2312" w:hAnsi="仿宋_GB2312" w:eastAsia="仿宋_GB2312"/>
          <w:b w:val="0"/>
          <w:bCs w:val="0"/>
          <w:sz w:val="32"/>
          <w:lang w:val="en-US" w:eastAsia="zh-CN"/>
        </w:rPr>
      </w:pPr>
      <w:r>
        <w:rPr>
          <w:rFonts w:hint="eastAsia" w:ascii="仿宋_GB2312" w:hAnsi="仿宋_GB2312" w:eastAsia="仿宋_GB2312"/>
          <w:b/>
          <w:bCs/>
          <w:sz w:val="32"/>
          <w:lang w:val="en-US" w:eastAsia="zh-CN"/>
        </w:rPr>
        <w:t xml:space="preserve">第七条  </w:t>
      </w:r>
      <w:r>
        <w:rPr>
          <w:rFonts w:hint="eastAsia" w:ascii="仿宋_GB2312" w:hAnsi="仿宋_GB2312" w:eastAsia="仿宋_GB2312"/>
          <w:b w:val="0"/>
          <w:bCs w:val="0"/>
          <w:sz w:val="32"/>
          <w:lang w:val="en-US" w:eastAsia="zh-CN"/>
        </w:rPr>
        <w:t>本村规民约自修订之日起生效，并由村两委负责解释。</w:t>
      </w:r>
    </w:p>
    <w:p w14:paraId="576AF982">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firstLine="0" w:firstLineChars="0"/>
        <w:jc w:val="right"/>
        <w:textAlignment w:val="auto"/>
        <w:outlineLvl w:val="9"/>
        <w:rPr>
          <w:rFonts w:hint="eastAsia" w:ascii="仿宋_GB2312" w:hAnsi="仿宋_GB2312" w:eastAsia="仿宋_GB2312"/>
          <w:b w:val="0"/>
          <w:bCs w:val="0"/>
          <w:sz w:val="32"/>
          <w:lang w:val="en-US" w:eastAsia="zh-CN"/>
        </w:rPr>
      </w:pPr>
    </w:p>
    <w:p w14:paraId="21A0F219">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firstLine="0" w:firstLineChars="0"/>
        <w:jc w:val="right"/>
        <w:textAlignment w:val="auto"/>
        <w:outlineLvl w:val="9"/>
        <w:rPr>
          <w:rFonts w:hint="eastAsia" w:ascii="仿宋_GB2312" w:hAnsi="仿宋_GB2312" w:eastAsia="仿宋_GB2312"/>
          <w:b w:val="0"/>
          <w:bCs w:val="0"/>
          <w:sz w:val="32"/>
          <w:lang w:val="en-US" w:eastAsia="zh-CN"/>
        </w:rPr>
      </w:pPr>
    </w:p>
    <w:p w14:paraId="55658093">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firstLine="0" w:firstLineChars="0"/>
        <w:jc w:val="right"/>
        <w:textAlignment w:val="auto"/>
        <w:outlineLvl w:val="9"/>
        <w:rPr>
          <w:rFonts w:hint="eastAsia" w:ascii="仿宋_GB2312" w:hAnsi="仿宋_GB2312" w:eastAsia="仿宋_GB2312"/>
          <w:b w:val="0"/>
          <w:bCs w:val="0"/>
          <w:sz w:val="32"/>
          <w:lang w:val="en-US" w:eastAsia="zh-CN"/>
        </w:rPr>
      </w:pPr>
    </w:p>
    <w:p w14:paraId="20C839AA">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firstLine="0" w:firstLineChars="0"/>
        <w:jc w:val="both"/>
        <w:textAlignment w:val="auto"/>
        <w:outlineLvl w:val="9"/>
        <w:rPr>
          <w:rFonts w:hint="eastAsia" w:ascii="仿宋_GB2312" w:hAnsi="仿宋_GB2312" w:eastAsia="仿宋_GB2312"/>
          <w:b w:val="0"/>
          <w:bCs w:val="0"/>
          <w:sz w:val="32"/>
          <w:lang w:val="en-US" w:eastAsia="zh-CN"/>
        </w:rPr>
      </w:pPr>
      <w:r>
        <w:rPr>
          <w:rFonts w:hint="eastAsia" w:ascii="仿宋_GB2312" w:hAnsi="仿宋_GB2312" w:eastAsia="仿宋_GB2312"/>
          <w:b w:val="0"/>
          <w:bCs w:val="0"/>
          <w:sz w:val="32"/>
          <w:lang w:val="en-US" w:eastAsia="zh-CN"/>
        </w:rPr>
        <w:t xml:space="preserve">                     </w:t>
      </w:r>
    </w:p>
    <w:p w14:paraId="0922B8AD">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30" w:lineRule="exact"/>
        <w:ind w:left="0" w:leftChars="0" w:right="-104" w:rightChars="-50" w:firstLine="0" w:firstLineChars="0"/>
        <w:jc w:val="center"/>
        <w:textAlignment w:val="auto"/>
        <w:outlineLvl w:val="9"/>
        <w:rPr>
          <w:rFonts w:hint="eastAsia" w:ascii="仿宋_GB2312" w:hAnsi="仿宋_GB2312" w:eastAsia="仿宋_GB2312"/>
          <w:b w:val="0"/>
          <w:bCs w:val="0"/>
          <w:sz w:val="32"/>
          <w:lang w:val="en-US" w:eastAsia="zh-CN"/>
        </w:rPr>
      </w:pPr>
      <w:r>
        <w:rPr>
          <w:rFonts w:hint="eastAsia" w:ascii="仿宋_GB2312" w:hAnsi="仿宋_GB2312" w:eastAsia="仿宋_GB2312"/>
          <w:b w:val="0"/>
          <w:bCs w:val="0"/>
          <w:sz w:val="32"/>
          <w:lang w:val="en-US" w:eastAsia="zh-CN"/>
        </w:rPr>
        <w:t xml:space="preserve">                      </w:t>
      </w:r>
    </w:p>
    <w:p w14:paraId="5B4A4145">
      <w:pPr>
        <w:rPr>
          <w:rFonts w:hint="eastAsia" w:ascii="仿宋_GB2312" w:hAnsi="仿宋_GB2312" w:cs="仿宋_GB2312"/>
        </w:rPr>
      </w:pPr>
      <w:r>
        <w:rPr>
          <w:rFonts w:hint="eastAsia" w:ascii="仿宋_GB2312" w:hAnsi="仿宋_GB2312" w:eastAsia="仿宋_GB2312"/>
          <w:b w:val="0"/>
          <w:bCs w:val="0"/>
          <w:sz w:val="32"/>
          <w:lang w:val="en-US" w:eastAsia="zh-CN"/>
        </w:rPr>
        <w:t xml:space="preserve">                       </w:t>
      </w:r>
    </w:p>
    <w:p w14:paraId="501FCF21">
      <w:pPr>
        <w:rPr>
          <w:rFonts w:hint="eastAsia" w:ascii="仿宋_GB2312" w:hAnsi="仿宋_GB2312" w:cs="仿宋_GB2312"/>
        </w:rPr>
      </w:pPr>
    </w:p>
    <w:p w14:paraId="71BA7F5F">
      <w:pPr>
        <w:rPr>
          <w:rFonts w:hint="eastAsia" w:ascii="仿宋_GB2312" w:hAnsi="仿宋_GB2312" w:cs="仿宋_GB2312"/>
        </w:rPr>
      </w:pPr>
    </w:p>
    <w:p w14:paraId="6B79304C">
      <w:pPr>
        <w:rPr>
          <w:rFonts w:hint="eastAsia" w:ascii="仿宋_GB2312" w:hAnsi="仿宋_GB2312" w:cs="仿宋_GB2312"/>
        </w:rPr>
      </w:pPr>
    </w:p>
    <w:p w14:paraId="35F0A752">
      <w:pPr>
        <w:rPr>
          <w:rFonts w:hint="eastAsia" w:ascii="仿宋_GB2312" w:hAnsi="仿宋_GB2312" w:cs="仿宋_GB2312"/>
        </w:rPr>
      </w:pPr>
    </w:p>
    <w:sectPr>
      <w:footerReference r:id="rId3" w:type="default"/>
      <w:pgSz w:w="12240" w:h="15840"/>
      <w:pgMar w:top="1984" w:right="1474" w:bottom="1757" w:left="1474" w:header="851" w:footer="1474" w:gutter="0"/>
      <w:cols w:space="720" w:num="1"/>
      <w:docGrid w:type="linesAndChars" w:linePitch="549" w:charSpace="-3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52B49">
    <w:pPr>
      <w:pStyle w:val="2"/>
    </w:pPr>
    <w:r>
      <w:pict>
        <v:shape id="_x0000_s4097" o:spid="_x0000_s4097" o:spt="202" type="#_x0000_t202" style="position:absolute;left:0pt;margin-top:0pt;height:18.15pt;width:49.05pt;mso-position-horizontal:outside;mso-position-horizontal-relative:margin;mso-wrap-style:none;z-index:251659264;mso-width-relative:page;mso-height-relative:page;" filled="f" stroked="f" coordsize="21600,21600" o:gfxdata="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IMzMV0QAA&#10;AAMBAAAPAAAAAAAAAAEAIAAAACIAAABkcnMvZG93bnJldi54bWxQSwECFAAUAAAACACHTuJARaY0&#10;mewBAAC0AwAADgAAAAAAAAABACAAAAAgAQAAZHJzL2Uyb0RvYy54bWxQSwUGAAAAAAYABgBZAQAA&#10;fgUAAAAA&#10;">
          <v:path/>
          <v:fill on="f" focussize="0,0"/>
          <v:stroke on="f" joinstyle="miter"/>
          <v:imagedata o:title=""/>
          <o:lock v:ext="edit"/>
          <v:textbox inset="0mm,0mm,0mm,0mm" style="mso-fit-shape-to-text:t;">
            <w:txbxContent>
              <w:p w14:paraId="588BDD96">
                <w:pPr>
                  <w:snapToGrid w:val="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17</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603568"/>
    <w:multiLevelType w:val="singleLevel"/>
    <w:tmpl w:val="AB603568"/>
    <w:lvl w:ilvl="0" w:tentative="0">
      <w:start w:val="1"/>
      <w:numFmt w:val="decimal"/>
      <w:suff w:val="space"/>
      <w:lvlText w:val="（%1）"/>
      <w:lvlJc w:val="left"/>
    </w:lvl>
  </w:abstractNum>
  <w:abstractNum w:abstractNumId="1">
    <w:nsid w:val="B58C8B76"/>
    <w:multiLevelType w:val="singleLevel"/>
    <w:tmpl w:val="B58C8B76"/>
    <w:lvl w:ilvl="0" w:tentative="0">
      <w:start w:val="1"/>
      <w:numFmt w:val="chineseCounting"/>
      <w:suff w:val="space"/>
      <w:lvlText w:val="第%1条"/>
      <w:lvlJc w:val="left"/>
      <w:pPr>
        <w:ind w:left="803" w:firstLine="0"/>
      </w:pPr>
      <w:rPr>
        <w:rFonts w:hint="eastAsia"/>
      </w:rPr>
    </w:lvl>
  </w:abstractNum>
  <w:abstractNum w:abstractNumId="2">
    <w:nsid w:val="77E68602"/>
    <w:multiLevelType w:val="singleLevel"/>
    <w:tmpl w:val="77E68602"/>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RmYjBmNmMyZjE3MDhlMWFiMTc0MzIyMDY3NGM3MjIifQ=="/>
  </w:docVars>
  <w:rsids>
    <w:rsidRoot w:val="00172A27"/>
    <w:rsid w:val="000162EB"/>
    <w:rsid w:val="00033BE2"/>
    <w:rsid w:val="000432D1"/>
    <w:rsid w:val="000577C3"/>
    <w:rsid w:val="00081D90"/>
    <w:rsid w:val="000B13B6"/>
    <w:rsid w:val="000F5489"/>
    <w:rsid w:val="0012307A"/>
    <w:rsid w:val="001805E7"/>
    <w:rsid w:val="00185BAE"/>
    <w:rsid w:val="001B337E"/>
    <w:rsid w:val="001F375F"/>
    <w:rsid w:val="00243442"/>
    <w:rsid w:val="0025047B"/>
    <w:rsid w:val="00276D5D"/>
    <w:rsid w:val="00286BD8"/>
    <w:rsid w:val="002C2814"/>
    <w:rsid w:val="002D0F43"/>
    <w:rsid w:val="002E45BA"/>
    <w:rsid w:val="00331C5A"/>
    <w:rsid w:val="00347132"/>
    <w:rsid w:val="00375F3E"/>
    <w:rsid w:val="003A279F"/>
    <w:rsid w:val="003B17E0"/>
    <w:rsid w:val="003C3F9A"/>
    <w:rsid w:val="003D7365"/>
    <w:rsid w:val="00416B21"/>
    <w:rsid w:val="00463A7E"/>
    <w:rsid w:val="004853F9"/>
    <w:rsid w:val="004A636B"/>
    <w:rsid w:val="004F499E"/>
    <w:rsid w:val="00553D14"/>
    <w:rsid w:val="0058652F"/>
    <w:rsid w:val="005A2F1D"/>
    <w:rsid w:val="005C1CFD"/>
    <w:rsid w:val="005E0BEA"/>
    <w:rsid w:val="005F73A0"/>
    <w:rsid w:val="006034EF"/>
    <w:rsid w:val="006137DB"/>
    <w:rsid w:val="0064175A"/>
    <w:rsid w:val="006432EF"/>
    <w:rsid w:val="006444AE"/>
    <w:rsid w:val="006911B5"/>
    <w:rsid w:val="006A19D6"/>
    <w:rsid w:val="006F31A0"/>
    <w:rsid w:val="0070040D"/>
    <w:rsid w:val="007274ED"/>
    <w:rsid w:val="0075621F"/>
    <w:rsid w:val="007869DC"/>
    <w:rsid w:val="007911E8"/>
    <w:rsid w:val="00792E94"/>
    <w:rsid w:val="007A3272"/>
    <w:rsid w:val="007D0789"/>
    <w:rsid w:val="007D5643"/>
    <w:rsid w:val="007E7448"/>
    <w:rsid w:val="00801576"/>
    <w:rsid w:val="008103C8"/>
    <w:rsid w:val="00850C93"/>
    <w:rsid w:val="00856D3F"/>
    <w:rsid w:val="0087422F"/>
    <w:rsid w:val="00891208"/>
    <w:rsid w:val="008A7FE9"/>
    <w:rsid w:val="008B3B62"/>
    <w:rsid w:val="008C6BCD"/>
    <w:rsid w:val="00920C80"/>
    <w:rsid w:val="00937D3A"/>
    <w:rsid w:val="00941CF7"/>
    <w:rsid w:val="0094621A"/>
    <w:rsid w:val="00994EAD"/>
    <w:rsid w:val="009C4C10"/>
    <w:rsid w:val="009D0E39"/>
    <w:rsid w:val="009D7B68"/>
    <w:rsid w:val="00A221CC"/>
    <w:rsid w:val="00A23ED0"/>
    <w:rsid w:val="00A50444"/>
    <w:rsid w:val="00A51E46"/>
    <w:rsid w:val="00A5507E"/>
    <w:rsid w:val="00A57256"/>
    <w:rsid w:val="00A72575"/>
    <w:rsid w:val="00AD4476"/>
    <w:rsid w:val="00AE4716"/>
    <w:rsid w:val="00B2363F"/>
    <w:rsid w:val="00B34AEB"/>
    <w:rsid w:val="00BB0F38"/>
    <w:rsid w:val="00BE3B66"/>
    <w:rsid w:val="00C309C5"/>
    <w:rsid w:val="00C8272C"/>
    <w:rsid w:val="00C83317"/>
    <w:rsid w:val="00C9199E"/>
    <w:rsid w:val="00CA7B08"/>
    <w:rsid w:val="00D070C3"/>
    <w:rsid w:val="00D223B2"/>
    <w:rsid w:val="00D2672E"/>
    <w:rsid w:val="00D949EC"/>
    <w:rsid w:val="00DD2A81"/>
    <w:rsid w:val="00DE2850"/>
    <w:rsid w:val="00E028A3"/>
    <w:rsid w:val="00E04E58"/>
    <w:rsid w:val="00E326DF"/>
    <w:rsid w:val="00E408A6"/>
    <w:rsid w:val="00E76D75"/>
    <w:rsid w:val="00E92BEA"/>
    <w:rsid w:val="00E93606"/>
    <w:rsid w:val="00EA0694"/>
    <w:rsid w:val="00EF640A"/>
    <w:rsid w:val="00F12B24"/>
    <w:rsid w:val="00F54F18"/>
    <w:rsid w:val="00F806F9"/>
    <w:rsid w:val="00F94605"/>
    <w:rsid w:val="027E259F"/>
    <w:rsid w:val="033A2CC7"/>
    <w:rsid w:val="04D26F50"/>
    <w:rsid w:val="05CD0FB2"/>
    <w:rsid w:val="07B86702"/>
    <w:rsid w:val="07DE09A6"/>
    <w:rsid w:val="1231748F"/>
    <w:rsid w:val="1393060F"/>
    <w:rsid w:val="1417405E"/>
    <w:rsid w:val="16093D88"/>
    <w:rsid w:val="17AD3F06"/>
    <w:rsid w:val="1ACA2B71"/>
    <w:rsid w:val="1B081DEA"/>
    <w:rsid w:val="1C5F46D9"/>
    <w:rsid w:val="1CE80422"/>
    <w:rsid w:val="1D1C3C58"/>
    <w:rsid w:val="1FE64611"/>
    <w:rsid w:val="24393B56"/>
    <w:rsid w:val="263152FD"/>
    <w:rsid w:val="2BA46745"/>
    <w:rsid w:val="2DAE4BE6"/>
    <w:rsid w:val="33291E58"/>
    <w:rsid w:val="33E16C9A"/>
    <w:rsid w:val="3A1048EE"/>
    <w:rsid w:val="40323CD8"/>
    <w:rsid w:val="41136B97"/>
    <w:rsid w:val="43785002"/>
    <w:rsid w:val="4410617A"/>
    <w:rsid w:val="46C749C5"/>
    <w:rsid w:val="477D43C3"/>
    <w:rsid w:val="479F7B4F"/>
    <w:rsid w:val="49B70C72"/>
    <w:rsid w:val="4A2D3279"/>
    <w:rsid w:val="4B275242"/>
    <w:rsid w:val="4FAD69E2"/>
    <w:rsid w:val="55892C6A"/>
    <w:rsid w:val="59C75CF1"/>
    <w:rsid w:val="5AFE1AC6"/>
    <w:rsid w:val="5E2777B5"/>
    <w:rsid w:val="65924096"/>
    <w:rsid w:val="67C0357E"/>
    <w:rsid w:val="6D6370DF"/>
    <w:rsid w:val="6E622E5D"/>
    <w:rsid w:val="70D6054E"/>
    <w:rsid w:val="719553E9"/>
    <w:rsid w:val="754E5213"/>
    <w:rsid w:val="764C48EE"/>
    <w:rsid w:val="76C901E2"/>
    <w:rsid w:val="78EE10F6"/>
    <w:rsid w:val="79E66CCF"/>
    <w:rsid w:val="7ABA0295"/>
    <w:rsid w:val="7E830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autoRedefine/>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0"/>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autoRedefine/>
    <w:qFormat/>
    <w:uiPriority w:val="34"/>
    <w:pPr>
      <w:ind w:firstLine="420" w:firstLineChars="200"/>
    </w:pPr>
  </w:style>
  <w:style w:type="character" w:customStyle="1" w:styleId="7">
    <w:name w:val="页眉 Char"/>
    <w:basedOn w:val="5"/>
    <w:link w:val="3"/>
    <w:autoRedefine/>
    <w:qFormat/>
    <w:uiPriority w:val="99"/>
    <w:rPr>
      <w:kern w:val="2"/>
      <w:sz w:val="18"/>
      <w:szCs w:val="18"/>
    </w:rPr>
  </w:style>
  <w:style w:type="character" w:customStyle="1" w:styleId="8">
    <w:name w:val="页脚 Char"/>
    <w:basedOn w:val="5"/>
    <w:link w:val="2"/>
    <w:autoRedefine/>
    <w:qFormat/>
    <w:uiPriority w:val="99"/>
    <w:rPr>
      <w:kern w:val="2"/>
      <w:sz w:val="18"/>
      <w:szCs w:val="18"/>
    </w:rPr>
  </w:style>
  <w:style w:type="paragraph" w:customStyle="1" w:styleId="9">
    <w:name w:val="p"/>
    <w:basedOn w:val="1"/>
    <w:autoRedefine/>
    <w:qFormat/>
    <w:uiPriority w:val="0"/>
    <w:pPr>
      <w:widowControl/>
      <w:spacing w:line="525" w:lineRule="atLeast"/>
      <w:ind w:firstLine="375"/>
      <w:jc w:val="left"/>
    </w:pPr>
    <w:rPr>
      <w:rFonts w:ascii="Calibri" w:hAnsi="Calibri" w:eastAsia="宋体" w:cs="Times New Roman"/>
      <w:kern w:val="0"/>
      <w:sz w:val="24"/>
      <w:szCs w:val="24"/>
    </w:rPr>
  </w:style>
  <w:style w:type="paragraph" w:customStyle="1" w:styleId="10">
    <w:name w:val="title"/>
    <w:basedOn w:val="1"/>
    <w:autoRedefine/>
    <w:qFormat/>
    <w:uiPriority w:val="0"/>
    <w:pPr>
      <w:widowControl/>
      <w:pBdr>
        <w:top w:val="none" w:color="auto" w:sz="0" w:space="11"/>
        <w:bottom w:val="none" w:color="auto" w:sz="0" w:space="11"/>
      </w:pBdr>
      <w:jc w:val="center"/>
    </w:pPr>
    <w:rPr>
      <w:rFonts w:ascii="Calibri" w:hAnsi="Calibri" w:eastAsia="宋体" w:cs="Times New Roman"/>
      <w:b/>
      <w:bCs/>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2462</Words>
  <Characters>2816</Characters>
  <Lines>56</Lines>
  <Paragraphs>15</Paragraphs>
  <TotalTime>0</TotalTime>
  <ScaleCrop>false</ScaleCrop>
  <LinksUpToDate>false</LinksUpToDate>
  <CharactersWithSpaces>2885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2019-03-14T15:33:00Z</dcterms:created>
  <dc:creator>Administrator</dc:creator>
  <cp:lastModifiedBy>池笠</cp:lastModifiedBy>
  <dcterms:modified xsi:type="dcterms:W3CDTF">2024-11-14T09:44:56Z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E621C356DC8D49DF8F600AB267F2F2DB_12</vt:lpwstr>
  </property>
</Properties>
</file>